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B6" w:rsidRDefault="00BE29B6" w:rsidP="00777DB0">
      <w:pPr>
        <w:pStyle w:val="ConsPlusNormal"/>
        <w:ind w:left="851"/>
        <w:jc w:val="center"/>
        <w:rPr>
          <w:rFonts w:ascii="Times New Roman" w:hAnsi="Times New Roman" w:cs="Times New Roman"/>
          <w:b/>
          <w:i/>
          <w:sz w:val="28"/>
          <w:szCs w:val="28"/>
        </w:rPr>
      </w:pPr>
      <w:r w:rsidRPr="00777DB0">
        <w:rPr>
          <w:rFonts w:ascii="Times New Roman" w:hAnsi="Times New Roman" w:cs="Times New Roman"/>
          <w:b/>
          <w:i/>
          <w:sz w:val="28"/>
          <w:szCs w:val="28"/>
        </w:rPr>
        <w:t>Требования к приборам учета электроэнергии.</w:t>
      </w:r>
    </w:p>
    <w:p w:rsidR="00777DB0" w:rsidRPr="00777DB0" w:rsidRDefault="00777DB0" w:rsidP="00777DB0">
      <w:pPr>
        <w:pStyle w:val="ConsPlusNormal"/>
        <w:ind w:left="851"/>
        <w:jc w:val="center"/>
        <w:rPr>
          <w:rFonts w:ascii="Times New Roman" w:hAnsi="Times New Roman" w:cs="Times New Roman"/>
          <w:b/>
          <w:i/>
          <w:sz w:val="28"/>
          <w:szCs w:val="28"/>
        </w:rPr>
      </w:pPr>
    </w:p>
    <w:p w:rsidR="00BE29B6" w:rsidRPr="002B38EC" w:rsidRDefault="00BE29B6" w:rsidP="00BE29B6">
      <w:pPr>
        <w:pStyle w:val="ConsPlusNormal"/>
        <w:ind w:firstLine="851"/>
        <w:jc w:val="both"/>
        <w:rPr>
          <w:rFonts w:ascii="Times New Roman" w:hAnsi="Times New Roman" w:cs="Times New Roman"/>
          <w:sz w:val="28"/>
          <w:szCs w:val="28"/>
        </w:rPr>
      </w:pPr>
      <w:proofErr w:type="gramStart"/>
      <w:r w:rsidRPr="002B38EC">
        <w:rPr>
          <w:rFonts w:ascii="Times New Roman" w:hAnsi="Times New Roman" w:cs="Times New Roman"/>
          <w:sz w:val="28"/>
          <w:szCs w:val="28"/>
        </w:rPr>
        <w:t xml:space="preserve">Приборы учета, показания которых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w:t>
      </w:r>
      <w:r w:rsidR="007477F2" w:rsidRPr="002B38EC">
        <w:rPr>
          <w:rFonts w:ascii="Times New Roman" w:hAnsi="Times New Roman" w:cs="Times New Roman"/>
          <w:sz w:val="28"/>
          <w:szCs w:val="28"/>
        </w:rPr>
        <w:t>требованиям</w:t>
      </w:r>
      <w:r w:rsidR="007477F2">
        <w:rPr>
          <w:rFonts w:ascii="Times New Roman" w:hAnsi="Times New Roman" w:cs="Times New Roman"/>
          <w:sz w:val="28"/>
          <w:szCs w:val="28"/>
        </w:rPr>
        <w:t xml:space="preserve">, </w:t>
      </w:r>
      <w:r w:rsidRPr="002B38EC">
        <w:rPr>
          <w:rFonts w:ascii="Times New Roman" w:hAnsi="Times New Roman" w:cs="Times New Roman"/>
          <w:sz w:val="28"/>
          <w:szCs w:val="28"/>
        </w:rPr>
        <w:t xml:space="preserve">установленным в </w:t>
      </w:r>
      <w:r>
        <w:rPr>
          <w:rFonts w:ascii="Times New Roman" w:hAnsi="Times New Roman" w:cs="Times New Roman"/>
          <w:sz w:val="28"/>
          <w:szCs w:val="28"/>
        </w:rPr>
        <w:t>постановлении</w:t>
      </w:r>
      <w:r w:rsidRPr="00576F2A">
        <w:rPr>
          <w:rFonts w:ascii="Times New Roman" w:hAnsi="Times New Roman" w:cs="Times New Roman"/>
          <w:sz w:val="28"/>
          <w:szCs w:val="28"/>
        </w:rPr>
        <w:t xml:space="preserve"> </w:t>
      </w:r>
      <w:r w:rsidRPr="00576F2A">
        <w:rPr>
          <w:rFonts w:ascii="Times New Roman" w:hAnsi="Times New Roman" w:cs="Times New Roman"/>
          <w:bCs/>
          <w:sz w:val="28"/>
          <w:szCs w:val="28"/>
        </w:rPr>
        <w:t>Правительства Российской Федерации</w:t>
      </w:r>
      <w:r>
        <w:rPr>
          <w:rFonts w:ascii="Times New Roman" w:hAnsi="Times New Roman" w:cs="Times New Roman"/>
          <w:bCs/>
          <w:sz w:val="28"/>
          <w:szCs w:val="28"/>
        </w:rPr>
        <w:t xml:space="preserve"> </w:t>
      </w:r>
      <w:r w:rsidRPr="00576F2A">
        <w:rPr>
          <w:rFonts w:ascii="Times New Roman" w:hAnsi="Times New Roman" w:cs="Times New Roman"/>
          <w:bCs/>
          <w:sz w:val="28"/>
          <w:szCs w:val="28"/>
        </w:rPr>
        <w:t>от 4 мая 2012</w:t>
      </w:r>
      <w:proofErr w:type="gramEnd"/>
      <w:r w:rsidRPr="00576F2A">
        <w:rPr>
          <w:rFonts w:ascii="Times New Roman" w:hAnsi="Times New Roman" w:cs="Times New Roman"/>
          <w:bCs/>
          <w:sz w:val="28"/>
          <w:szCs w:val="28"/>
        </w:rPr>
        <w:t xml:space="preserve"> г. N 442</w:t>
      </w:r>
      <w:r w:rsidRPr="002B38EC">
        <w:rPr>
          <w:rFonts w:ascii="Times New Roman" w:hAnsi="Times New Roman" w:cs="Times New Roman"/>
          <w:sz w:val="28"/>
          <w:szCs w:val="28"/>
        </w:rPr>
        <w:t>, в том числе по их классу точности, быть допущенными в эксплуатацию в установленном порядке, иметь неповрежденные контрольные пломбы и (или) знаки визуального контроля (далее - расчетные приборы учета).</w:t>
      </w:r>
    </w:p>
    <w:p w:rsidR="00BE29B6" w:rsidRPr="002B38EC" w:rsidRDefault="00BE29B6" w:rsidP="00BE29B6">
      <w:pPr>
        <w:pStyle w:val="ConsPlusNormal"/>
        <w:ind w:firstLine="708"/>
        <w:jc w:val="both"/>
        <w:rPr>
          <w:rFonts w:ascii="Times New Roman" w:hAnsi="Times New Roman" w:cs="Times New Roman"/>
          <w:sz w:val="28"/>
          <w:szCs w:val="28"/>
        </w:rPr>
      </w:pPr>
      <w:r w:rsidRPr="002B38EC">
        <w:rPr>
          <w:rFonts w:ascii="Times New Roman" w:hAnsi="Times New Roman" w:cs="Times New Roman"/>
          <w:sz w:val="28"/>
          <w:szCs w:val="28"/>
        </w:rPr>
        <w:t xml:space="preserve">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w:t>
      </w:r>
      <w:r w:rsidRPr="007477F2">
        <w:rPr>
          <w:rFonts w:ascii="Times New Roman" w:hAnsi="Times New Roman" w:cs="Times New Roman"/>
          <w:i/>
          <w:sz w:val="28"/>
          <w:szCs w:val="28"/>
          <w:u w:val="single"/>
        </w:rPr>
        <w:t>2,0 и выше</w:t>
      </w:r>
      <w:r w:rsidRPr="002B38EC">
        <w:rPr>
          <w:rFonts w:ascii="Times New Roman" w:hAnsi="Times New Roman" w:cs="Times New Roman"/>
          <w:sz w:val="28"/>
          <w:szCs w:val="28"/>
        </w:rPr>
        <w:t>.</w:t>
      </w:r>
    </w:p>
    <w:p w:rsidR="00BE29B6" w:rsidRPr="007477F2" w:rsidRDefault="00BE29B6" w:rsidP="00BE29B6">
      <w:pPr>
        <w:pStyle w:val="ConsPlusNormal"/>
        <w:ind w:firstLine="708"/>
        <w:jc w:val="both"/>
        <w:rPr>
          <w:rFonts w:ascii="Times New Roman" w:hAnsi="Times New Roman" w:cs="Times New Roman"/>
          <w:i/>
          <w:sz w:val="28"/>
          <w:szCs w:val="28"/>
          <w:u w:val="single"/>
        </w:rPr>
      </w:pPr>
      <w:r w:rsidRPr="002B38EC">
        <w:rPr>
          <w:rFonts w:ascii="Times New Roman" w:hAnsi="Times New Roman" w:cs="Times New Roman"/>
          <w:sz w:val="28"/>
          <w:szCs w:val="28"/>
        </w:rPr>
        <w:t xml:space="preserve">В многоквартирных домах, присоединение которых к объектам электросетевого хозяйства осуществляется на границе раздела объектов электросетевого хозяйства и внутридомовых инженерных систем подлежат установке </w:t>
      </w:r>
      <w:r w:rsidRPr="007477F2">
        <w:rPr>
          <w:rFonts w:ascii="Times New Roman" w:hAnsi="Times New Roman" w:cs="Times New Roman"/>
          <w:i/>
          <w:sz w:val="28"/>
          <w:szCs w:val="28"/>
          <w:u w:val="single"/>
        </w:rPr>
        <w:t>коллективные (общедомовые) приборы учета класса точности 1,0 и выше.</w:t>
      </w:r>
    </w:p>
    <w:p w:rsidR="00BE29B6" w:rsidRPr="002B38EC" w:rsidRDefault="00BE29B6" w:rsidP="00BE29B6">
      <w:pPr>
        <w:pStyle w:val="ConsPlusNormal"/>
        <w:ind w:firstLine="708"/>
        <w:jc w:val="both"/>
        <w:rPr>
          <w:rFonts w:ascii="Times New Roman" w:hAnsi="Times New Roman" w:cs="Times New Roman"/>
          <w:sz w:val="28"/>
          <w:szCs w:val="28"/>
        </w:rPr>
      </w:pPr>
      <w:proofErr w:type="gramStart"/>
      <w:r w:rsidRPr="002B38EC">
        <w:rPr>
          <w:rFonts w:ascii="Times New Roman" w:hAnsi="Times New Roman" w:cs="Times New Roman"/>
          <w:sz w:val="28"/>
          <w:szCs w:val="28"/>
        </w:rPr>
        <w:t>Для учета электрической энерг</w:t>
      </w:r>
      <w:r>
        <w:rPr>
          <w:rFonts w:ascii="Times New Roman" w:hAnsi="Times New Roman" w:cs="Times New Roman"/>
          <w:sz w:val="28"/>
          <w:szCs w:val="28"/>
        </w:rPr>
        <w:t>ии, потребляемой потребителями</w:t>
      </w:r>
      <w:r w:rsidRPr="002B38EC">
        <w:rPr>
          <w:rFonts w:ascii="Times New Roman" w:hAnsi="Times New Roman" w:cs="Times New Roman"/>
          <w:sz w:val="28"/>
          <w:szCs w:val="28"/>
        </w:rPr>
        <w:t xml:space="preserve"> с максимальной мощностью </w:t>
      </w:r>
      <w:r w:rsidRPr="007477F2">
        <w:rPr>
          <w:rFonts w:ascii="Times New Roman" w:hAnsi="Times New Roman" w:cs="Times New Roman"/>
          <w:i/>
          <w:sz w:val="28"/>
          <w:szCs w:val="28"/>
          <w:u w:val="single"/>
        </w:rPr>
        <w:t>менее 670 кВт</w:t>
      </w:r>
      <w:r>
        <w:rPr>
          <w:rFonts w:ascii="Times New Roman" w:hAnsi="Times New Roman" w:cs="Times New Roman"/>
          <w:sz w:val="28"/>
          <w:szCs w:val="28"/>
        </w:rPr>
        <w:t xml:space="preserve"> (за исключением многоквартирных домов)</w:t>
      </w:r>
      <w:r w:rsidRPr="002B38EC">
        <w:rPr>
          <w:rFonts w:ascii="Times New Roman" w:hAnsi="Times New Roman" w:cs="Times New Roman"/>
          <w:sz w:val="28"/>
          <w:szCs w:val="28"/>
        </w:rPr>
        <w:t xml:space="preserve">, подлежат использованию приборы учета класса точности </w:t>
      </w:r>
      <w:r w:rsidRPr="007477F2">
        <w:rPr>
          <w:rFonts w:ascii="Times New Roman" w:hAnsi="Times New Roman" w:cs="Times New Roman"/>
          <w:i/>
          <w:sz w:val="28"/>
          <w:szCs w:val="28"/>
          <w:u w:val="single"/>
        </w:rPr>
        <w:t>1,0 и выше</w:t>
      </w:r>
      <w:r w:rsidRPr="002B38EC">
        <w:rPr>
          <w:rFonts w:ascii="Times New Roman" w:hAnsi="Times New Roman" w:cs="Times New Roman"/>
          <w:sz w:val="28"/>
          <w:szCs w:val="28"/>
        </w:rPr>
        <w:t xml:space="preserve"> - для точек присоединения к объектам электросетевого хозяйства напряжением </w:t>
      </w:r>
      <w:r w:rsidRPr="00891213">
        <w:rPr>
          <w:rFonts w:ascii="Times New Roman" w:hAnsi="Times New Roman" w:cs="Times New Roman"/>
          <w:i/>
          <w:sz w:val="28"/>
          <w:szCs w:val="28"/>
          <w:u w:val="single"/>
        </w:rPr>
        <w:t xml:space="preserve">35 </w:t>
      </w:r>
      <w:proofErr w:type="spellStart"/>
      <w:r w:rsidRPr="00891213">
        <w:rPr>
          <w:rFonts w:ascii="Times New Roman" w:hAnsi="Times New Roman" w:cs="Times New Roman"/>
          <w:i/>
          <w:sz w:val="28"/>
          <w:szCs w:val="28"/>
          <w:u w:val="single"/>
        </w:rPr>
        <w:t>кВ</w:t>
      </w:r>
      <w:proofErr w:type="spellEnd"/>
      <w:r w:rsidRPr="00891213">
        <w:rPr>
          <w:rFonts w:ascii="Times New Roman" w:hAnsi="Times New Roman" w:cs="Times New Roman"/>
          <w:i/>
          <w:sz w:val="28"/>
          <w:szCs w:val="28"/>
          <w:u w:val="single"/>
        </w:rPr>
        <w:t xml:space="preserve"> и ниже</w:t>
      </w:r>
      <w:r w:rsidRPr="002B38EC">
        <w:rPr>
          <w:rFonts w:ascii="Times New Roman" w:hAnsi="Times New Roman" w:cs="Times New Roman"/>
          <w:sz w:val="28"/>
          <w:szCs w:val="28"/>
        </w:rPr>
        <w:t xml:space="preserve"> и класса точности </w:t>
      </w:r>
      <w:r w:rsidRPr="00891213">
        <w:rPr>
          <w:rFonts w:ascii="Times New Roman" w:hAnsi="Times New Roman" w:cs="Times New Roman"/>
          <w:i/>
          <w:sz w:val="28"/>
          <w:szCs w:val="28"/>
          <w:u w:val="single"/>
        </w:rPr>
        <w:t>0,5S и выше</w:t>
      </w:r>
      <w:r w:rsidRPr="002B38EC">
        <w:rPr>
          <w:rFonts w:ascii="Times New Roman" w:hAnsi="Times New Roman" w:cs="Times New Roman"/>
          <w:sz w:val="28"/>
          <w:szCs w:val="28"/>
        </w:rPr>
        <w:t xml:space="preserve"> - для точек присоединения к объектам электросетевого хозяйства напряжением </w:t>
      </w:r>
      <w:r w:rsidRPr="00891213">
        <w:rPr>
          <w:rFonts w:ascii="Times New Roman" w:hAnsi="Times New Roman" w:cs="Times New Roman"/>
          <w:i/>
          <w:sz w:val="28"/>
          <w:szCs w:val="28"/>
          <w:u w:val="single"/>
        </w:rPr>
        <w:t xml:space="preserve">110 </w:t>
      </w:r>
      <w:proofErr w:type="spellStart"/>
      <w:r w:rsidRPr="00891213">
        <w:rPr>
          <w:rFonts w:ascii="Times New Roman" w:hAnsi="Times New Roman" w:cs="Times New Roman"/>
          <w:i/>
          <w:sz w:val="28"/>
          <w:szCs w:val="28"/>
          <w:u w:val="single"/>
        </w:rPr>
        <w:t>кВ</w:t>
      </w:r>
      <w:proofErr w:type="spellEnd"/>
      <w:r w:rsidRPr="00891213">
        <w:rPr>
          <w:rFonts w:ascii="Times New Roman" w:hAnsi="Times New Roman" w:cs="Times New Roman"/>
          <w:i/>
          <w:sz w:val="28"/>
          <w:szCs w:val="28"/>
          <w:u w:val="single"/>
        </w:rPr>
        <w:t xml:space="preserve"> и выше.</w:t>
      </w:r>
      <w:proofErr w:type="gramEnd"/>
    </w:p>
    <w:p w:rsidR="00BE29B6" w:rsidRPr="002B38EC" w:rsidRDefault="00BE29B6" w:rsidP="00BE29B6">
      <w:pPr>
        <w:pStyle w:val="ConsPlusNormal"/>
        <w:ind w:firstLine="708"/>
        <w:jc w:val="both"/>
        <w:rPr>
          <w:rFonts w:ascii="Times New Roman" w:hAnsi="Times New Roman" w:cs="Times New Roman"/>
          <w:sz w:val="28"/>
          <w:szCs w:val="28"/>
        </w:rPr>
      </w:pPr>
      <w:r w:rsidRPr="002B38EC">
        <w:rPr>
          <w:rFonts w:ascii="Times New Roman" w:hAnsi="Times New Roman" w:cs="Times New Roman"/>
          <w:sz w:val="28"/>
          <w:szCs w:val="28"/>
        </w:rPr>
        <w:t xml:space="preserve">Для учета электрической энергии, потребляемой потребителями с максимальной мощностью </w:t>
      </w:r>
      <w:r w:rsidRPr="00891213">
        <w:rPr>
          <w:rFonts w:ascii="Times New Roman" w:hAnsi="Times New Roman" w:cs="Times New Roman"/>
          <w:i/>
          <w:sz w:val="28"/>
          <w:szCs w:val="28"/>
          <w:u w:val="single"/>
        </w:rPr>
        <w:t>не менее 670 кВт</w:t>
      </w:r>
      <w:r w:rsidRPr="002B38EC">
        <w:rPr>
          <w:rFonts w:ascii="Times New Roman" w:hAnsi="Times New Roman" w:cs="Times New Roman"/>
          <w:sz w:val="28"/>
          <w:szCs w:val="28"/>
        </w:rPr>
        <w:t xml:space="preserve">, подлежат использованию приборы учета, позволяющие измерять почасовые объемы потребления электрической энергии, класса точности </w:t>
      </w:r>
      <w:r w:rsidRPr="00891213">
        <w:rPr>
          <w:rFonts w:ascii="Times New Roman" w:hAnsi="Times New Roman" w:cs="Times New Roman"/>
          <w:i/>
          <w:sz w:val="28"/>
          <w:szCs w:val="28"/>
          <w:u w:val="single"/>
        </w:rPr>
        <w:t>0,5S и выше</w:t>
      </w:r>
      <w:r w:rsidRPr="002B38EC">
        <w:rPr>
          <w:rFonts w:ascii="Times New Roman" w:hAnsi="Times New Roman" w:cs="Times New Roman"/>
          <w:sz w:val="28"/>
          <w:szCs w:val="28"/>
        </w:rPr>
        <w:t xml:space="preserve">, обеспечивающие хранение данных о почасовых объемах потребления электрической энергии </w:t>
      </w:r>
      <w:proofErr w:type="gramStart"/>
      <w:r w:rsidRPr="002B38EC">
        <w:rPr>
          <w:rFonts w:ascii="Times New Roman" w:hAnsi="Times New Roman" w:cs="Times New Roman"/>
          <w:sz w:val="28"/>
          <w:szCs w:val="28"/>
        </w:rPr>
        <w:t>за</w:t>
      </w:r>
      <w:proofErr w:type="gramEnd"/>
      <w:r w:rsidRPr="002B38EC">
        <w:rPr>
          <w:rFonts w:ascii="Times New Roman" w:hAnsi="Times New Roman" w:cs="Times New Roman"/>
          <w:sz w:val="28"/>
          <w:szCs w:val="28"/>
        </w:rPr>
        <w:t xml:space="preserve"> последние 90 дней и более или включенные в систему учета.</w:t>
      </w:r>
    </w:p>
    <w:p w:rsidR="00BE29B6" w:rsidRPr="002B38EC" w:rsidRDefault="00BE29B6" w:rsidP="00BE29B6">
      <w:pPr>
        <w:pStyle w:val="ConsPlusNormal"/>
        <w:ind w:firstLine="708"/>
        <w:jc w:val="both"/>
        <w:rPr>
          <w:rFonts w:ascii="Times New Roman" w:hAnsi="Times New Roman" w:cs="Times New Roman"/>
          <w:sz w:val="28"/>
          <w:szCs w:val="28"/>
        </w:rPr>
      </w:pPr>
      <w:proofErr w:type="gramStart"/>
      <w:r w:rsidRPr="002B38EC">
        <w:rPr>
          <w:rFonts w:ascii="Times New Roman" w:hAnsi="Times New Roman" w:cs="Times New Roman"/>
          <w:sz w:val="28"/>
          <w:szCs w:val="28"/>
        </w:rPr>
        <w:t xml:space="preserve">Для учета </w:t>
      </w:r>
      <w:r w:rsidRPr="00891213">
        <w:rPr>
          <w:rFonts w:ascii="Times New Roman" w:hAnsi="Times New Roman" w:cs="Times New Roman"/>
          <w:i/>
          <w:sz w:val="28"/>
          <w:szCs w:val="28"/>
          <w:u w:val="single"/>
        </w:rPr>
        <w:t>реактивной мощности</w:t>
      </w:r>
      <w:r w:rsidRPr="002B38EC">
        <w:rPr>
          <w:rFonts w:ascii="Times New Roman" w:hAnsi="Times New Roman" w:cs="Times New Roman"/>
          <w:sz w:val="28"/>
          <w:szCs w:val="28"/>
        </w:rPr>
        <w:t xml:space="preserve">, потребляемой (производимой) потребителями с максимальной мощностью </w:t>
      </w:r>
      <w:r w:rsidRPr="00891213">
        <w:rPr>
          <w:rFonts w:ascii="Times New Roman" w:hAnsi="Times New Roman" w:cs="Times New Roman"/>
          <w:i/>
          <w:sz w:val="28"/>
          <w:szCs w:val="28"/>
          <w:u w:val="single"/>
        </w:rPr>
        <w:t>не менее 670 кВт</w:t>
      </w:r>
      <w:r w:rsidRPr="002B38EC">
        <w:rPr>
          <w:rFonts w:ascii="Times New Roman" w:hAnsi="Times New Roman" w:cs="Times New Roman"/>
          <w:sz w:val="28"/>
          <w:szCs w:val="28"/>
        </w:rPr>
        <w:t xml:space="preserve">, в случае если в договоре оказания услуг по передаче электрической энергии, заключенном в отношении </w:t>
      </w:r>
      <w:proofErr w:type="spellStart"/>
      <w:r w:rsidRPr="002B38EC">
        <w:rPr>
          <w:rFonts w:ascii="Times New Roman" w:hAnsi="Times New Roman" w:cs="Times New Roman"/>
          <w:sz w:val="28"/>
          <w:szCs w:val="28"/>
        </w:rPr>
        <w:t>энергопринимающих</w:t>
      </w:r>
      <w:proofErr w:type="spellEnd"/>
      <w:r w:rsidRPr="002B38EC">
        <w:rPr>
          <w:rFonts w:ascii="Times New Roman" w:hAnsi="Times New Roman" w:cs="Times New Roman"/>
          <w:sz w:val="28"/>
          <w:szCs w:val="28"/>
        </w:rPr>
        <w:t xml:space="preserve"> устройств таких потребителей в соответствии с Правилами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w:t>
      </w:r>
      <w:proofErr w:type="gramEnd"/>
      <w:r w:rsidRPr="002B38EC">
        <w:rPr>
          <w:rFonts w:ascii="Times New Roman" w:hAnsi="Times New Roman" w:cs="Times New Roman"/>
          <w:sz w:val="28"/>
          <w:szCs w:val="28"/>
        </w:rPr>
        <w:t xml:space="preserve">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w:t>
      </w:r>
      <w:r w:rsidRPr="002B38EC">
        <w:rPr>
          <w:rFonts w:ascii="Times New Roman" w:hAnsi="Times New Roman" w:cs="Times New Roman"/>
          <w:sz w:val="28"/>
          <w:szCs w:val="28"/>
        </w:rPr>
        <w:lastRenderedPageBreak/>
        <w:t xml:space="preserve">реактивной мощности. При этом указанные приборы учета должны иметь класс точности </w:t>
      </w:r>
      <w:r w:rsidRPr="00891213">
        <w:rPr>
          <w:rFonts w:ascii="Times New Roman" w:hAnsi="Times New Roman" w:cs="Times New Roman"/>
          <w:i/>
          <w:sz w:val="28"/>
          <w:szCs w:val="28"/>
          <w:u w:val="single"/>
        </w:rPr>
        <w:t>не ниже 2,0</w:t>
      </w:r>
      <w:r w:rsidRPr="002B38EC">
        <w:rPr>
          <w:rFonts w:ascii="Times New Roman" w:hAnsi="Times New Roman" w:cs="Times New Roman"/>
          <w:sz w:val="28"/>
          <w:szCs w:val="28"/>
        </w:rPr>
        <w:t>, но не более чем на одну ступень ниже класса точности используемых приборов учета, позволяющих определять активную мощность.</w:t>
      </w:r>
    </w:p>
    <w:p w:rsidR="00BE29B6" w:rsidRPr="002B38EC" w:rsidRDefault="00BE29B6" w:rsidP="00BE29B6">
      <w:pPr>
        <w:pStyle w:val="ConsPlusNormal"/>
        <w:ind w:firstLine="708"/>
        <w:jc w:val="both"/>
        <w:rPr>
          <w:rFonts w:ascii="Times New Roman" w:hAnsi="Times New Roman" w:cs="Times New Roman"/>
          <w:sz w:val="28"/>
          <w:szCs w:val="28"/>
        </w:rPr>
      </w:pPr>
      <w:r w:rsidRPr="002B38EC">
        <w:rPr>
          <w:rFonts w:ascii="Times New Roman" w:hAnsi="Times New Roman" w:cs="Times New Roman"/>
          <w:sz w:val="28"/>
          <w:szCs w:val="28"/>
        </w:rPr>
        <w:t xml:space="preserve">Класс точности </w:t>
      </w:r>
      <w:r w:rsidRPr="00891213">
        <w:rPr>
          <w:rFonts w:ascii="Times New Roman" w:hAnsi="Times New Roman" w:cs="Times New Roman"/>
          <w:i/>
          <w:sz w:val="28"/>
          <w:szCs w:val="28"/>
          <w:u w:val="single"/>
        </w:rPr>
        <w:t>измерительных трансформаторов</w:t>
      </w:r>
      <w:r w:rsidRPr="002B38EC">
        <w:rPr>
          <w:rFonts w:ascii="Times New Roman" w:hAnsi="Times New Roman" w:cs="Times New Roman"/>
          <w:sz w:val="28"/>
          <w:szCs w:val="28"/>
        </w:rPr>
        <w:t xml:space="preserve">, используемых в измерительных комплексах для установки (подключения) приборов учета, должен быть </w:t>
      </w:r>
      <w:r w:rsidRPr="00891213">
        <w:rPr>
          <w:rFonts w:ascii="Times New Roman" w:hAnsi="Times New Roman" w:cs="Times New Roman"/>
          <w:i/>
          <w:sz w:val="28"/>
          <w:szCs w:val="28"/>
          <w:u w:val="single"/>
        </w:rPr>
        <w:t>не ниже 0,5</w:t>
      </w:r>
      <w:r w:rsidRPr="002B38EC">
        <w:rPr>
          <w:rFonts w:ascii="Times New Roman" w:hAnsi="Times New Roman" w:cs="Times New Roman"/>
          <w:sz w:val="28"/>
          <w:szCs w:val="28"/>
        </w:rPr>
        <w:t xml:space="preserve">. Допускается использование измерительных трансформаторов напряжения класса точности </w:t>
      </w:r>
      <w:r w:rsidRPr="00891213">
        <w:rPr>
          <w:rFonts w:ascii="Times New Roman" w:hAnsi="Times New Roman" w:cs="Times New Roman"/>
          <w:i/>
          <w:sz w:val="28"/>
          <w:szCs w:val="28"/>
          <w:u w:val="single"/>
        </w:rPr>
        <w:t>1,0</w:t>
      </w:r>
      <w:r w:rsidRPr="002B38EC">
        <w:rPr>
          <w:rFonts w:ascii="Times New Roman" w:hAnsi="Times New Roman" w:cs="Times New Roman"/>
          <w:sz w:val="28"/>
          <w:szCs w:val="28"/>
        </w:rPr>
        <w:t xml:space="preserve"> для установки (подключения) приборов учета класса точности 2,0.</w:t>
      </w:r>
    </w:p>
    <w:p w:rsidR="00BE29B6" w:rsidRPr="002B38EC" w:rsidRDefault="00BE29B6" w:rsidP="00BE29B6">
      <w:pPr>
        <w:pStyle w:val="ConsPlusNormal"/>
        <w:ind w:firstLine="708"/>
        <w:jc w:val="both"/>
        <w:rPr>
          <w:rFonts w:ascii="Times New Roman" w:hAnsi="Times New Roman" w:cs="Times New Roman"/>
          <w:sz w:val="28"/>
          <w:szCs w:val="28"/>
        </w:rPr>
      </w:pPr>
      <w:proofErr w:type="gramStart"/>
      <w:r w:rsidRPr="002B38EC">
        <w:rPr>
          <w:rFonts w:ascii="Times New Roman" w:hAnsi="Times New Roman" w:cs="Times New Roman"/>
          <w:sz w:val="28"/>
          <w:szCs w:val="28"/>
        </w:rPr>
        <w:t xml:space="preserve">Для учета объемов производства электрической энергии </w:t>
      </w:r>
      <w:r w:rsidRPr="00891213">
        <w:rPr>
          <w:rFonts w:ascii="Times New Roman" w:hAnsi="Times New Roman" w:cs="Times New Roman"/>
          <w:i/>
          <w:sz w:val="28"/>
          <w:szCs w:val="28"/>
          <w:u w:val="single"/>
        </w:rPr>
        <w:t>производителями электрической энергии</w:t>
      </w:r>
      <w:r w:rsidRPr="002B38EC">
        <w:rPr>
          <w:rFonts w:ascii="Times New Roman" w:hAnsi="Times New Roman" w:cs="Times New Roman"/>
          <w:sz w:val="28"/>
          <w:szCs w:val="28"/>
        </w:rPr>
        <w:t xml:space="preserve">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w:t>
      </w:r>
      <w:r w:rsidRPr="00891213">
        <w:rPr>
          <w:rFonts w:ascii="Times New Roman" w:hAnsi="Times New Roman" w:cs="Times New Roman"/>
          <w:i/>
          <w:sz w:val="28"/>
          <w:szCs w:val="28"/>
          <w:u w:val="single"/>
        </w:rPr>
        <w:t>0,5S и выше</w:t>
      </w:r>
      <w:r w:rsidRPr="002B38EC">
        <w:rPr>
          <w:rFonts w:ascii="Times New Roman" w:hAnsi="Times New Roman" w:cs="Times New Roman"/>
          <w:sz w:val="28"/>
          <w:szCs w:val="28"/>
        </w:rPr>
        <w:t>,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roofErr w:type="gramEnd"/>
    </w:p>
    <w:p w:rsidR="00BE29B6" w:rsidRPr="002B38EC" w:rsidRDefault="00BE29B6" w:rsidP="00BE29B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Данные</w:t>
      </w:r>
      <w:r w:rsidRPr="002B38EC">
        <w:rPr>
          <w:rFonts w:ascii="Times New Roman" w:hAnsi="Times New Roman" w:cs="Times New Roman"/>
          <w:sz w:val="28"/>
          <w:szCs w:val="28"/>
        </w:rPr>
        <w:t xml:space="preserve">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BE29B6" w:rsidRDefault="00BE29B6" w:rsidP="00BE29B6">
      <w:pPr>
        <w:pStyle w:val="ConsPlusNormal"/>
        <w:ind w:firstLine="708"/>
        <w:jc w:val="both"/>
        <w:rPr>
          <w:rFonts w:ascii="Times New Roman" w:hAnsi="Times New Roman" w:cs="Times New Roman"/>
          <w:sz w:val="28"/>
          <w:szCs w:val="28"/>
        </w:rPr>
      </w:pPr>
      <w:r w:rsidRPr="002B38EC">
        <w:rPr>
          <w:rFonts w:ascii="Times New Roman" w:hAnsi="Times New Roman" w:cs="Times New Roman"/>
          <w:sz w:val="28"/>
          <w:szCs w:val="28"/>
        </w:rPr>
        <w:t>Приб</w:t>
      </w:r>
      <w:r>
        <w:rPr>
          <w:rFonts w:ascii="Times New Roman" w:hAnsi="Times New Roman" w:cs="Times New Roman"/>
          <w:sz w:val="28"/>
          <w:szCs w:val="28"/>
        </w:rPr>
        <w:t>о</w:t>
      </w:r>
      <w:r w:rsidR="00891213">
        <w:rPr>
          <w:rFonts w:ascii="Times New Roman" w:hAnsi="Times New Roman" w:cs="Times New Roman"/>
          <w:sz w:val="28"/>
          <w:szCs w:val="28"/>
        </w:rPr>
        <w:t>ры учета класса точности ниже 2,</w:t>
      </w:r>
      <w:r>
        <w:rPr>
          <w:rFonts w:ascii="Times New Roman" w:hAnsi="Times New Roman" w:cs="Times New Roman"/>
          <w:sz w:val="28"/>
          <w:szCs w:val="28"/>
        </w:rPr>
        <w:t>0</w:t>
      </w:r>
      <w:r w:rsidRPr="002B38EC">
        <w:rPr>
          <w:rFonts w:ascii="Times New Roman" w:hAnsi="Times New Roman" w:cs="Times New Roman"/>
          <w:sz w:val="28"/>
          <w:szCs w:val="28"/>
        </w:rPr>
        <w:t>,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w:t>
      </w:r>
      <w:r>
        <w:rPr>
          <w:rFonts w:ascii="Times New Roman" w:hAnsi="Times New Roman" w:cs="Times New Roman"/>
          <w:sz w:val="28"/>
          <w:szCs w:val="28"/>
        </w:rPr>
        <w:t xml:space="preserve"> </w:t>
      </w:r>
      <w:r w:rsidR="00891213">
        <w:rPr>
          <w:rFonts w:ascii="Times New Roman" w:hAnsi="Times New Roman" w:cs="Times New Roman"/>
          <w:sz w:val="28"/>
          <w:szCs w:val="28"/>
        </w:rPr>
        <w:t>учета класса точности не ниже 2,</w:t>
      </w:r>
      <w:r>
        <w:rPr>
          <w:rFonts w:ascii="Times New Roman" w:hAnsi="Times New Roman" w:cs="Times New Roman"/>
          <w:sz w:val="28"/>
          <w:szCs w:val="28"/>
        </w:rPr>
        <w:t>0.</w:t>
      </w:r>
    </w:p>
    <w:p w:rsidR="00BE29B6" w:rsidRPr="002B38EC" w:rsidRDefault="00BE29B6" w:rsidP="00BE29B6">
      <w:pPr>
        <w:pStyle w:val="ConsPlusNormal"/>
        <w:ind w:firstLine="708"/>
        <w:jc w:val="both"/>
        <w:rPr>
          <w:rFonts w:ascii="Times New Roman" w:hAnsi="Times New Roman" w:cs="Times New Roman"/>
          <w:sz w:val="28"/>
          <w:szCs w:val="28"/>
        </w:rPr>
      </w:pPr>
      <w:proofErr w:type="spellStart"/>
      <w:proofErr w:type="gramStart"/>
      <w:r w:rsidRPr="002B38EC">
        <w:rPr>
          <w:rFonts w:ascii="Times New Roman" w:hAnsi="Times New Roman" w:cs="Times New Roman"/>
          <w:sz w:val="28"/>
          <w:szCs w:val="28"/>
        </w:rPr>
        <w:t>Энергопринимающие</w:t>
      </w:r>
      <w:proofErr w:type="spellEnd"/>
      <w:r w:rsidRPr="002B38EC">
        <w:rPr>
          <w:rFonts w:ascii="Times New Roman" w:hAnsi="Times New Roman" w:cs="Times New Roman"/>
          <w:sz w:val="28"/>
          <w:szCs w:val="28"/>
        </w:rPr>
        <w:t xml:space="preserve">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w:t>
      </w:r>
      <w:proofErr w:type="gramEnd"/>
      <w:r w:rsidRPr="002B38EC">
        <w:rPr>
          <w:rFonts w:ascii="Times New Roman" w:hAnsi="Times New Roman" w:cs="Times New Roman"/>
          <w:sz w:val="28"/>
          <w:szCs w:val="28"/>
        </w:rPr>
        <w:t xml:space="preserve"> пунктом допускается использование интегральных приборов учета.</w:t>
      </w:r>
    </w:p>
    <w:p w:rsidR="00BE29B6" w:rsidRDefault="00BE29B6" w:rsidP="00BE29B6">
      <w:pPr>
        <w:pStyle w:val="ConsPlusNormal"/>
        <w:ind w:firstLine="708"/>
        <w:jc w:val="both"/>
        <w:rPr>
          <w:rFonts w:ascii="Times New Roman" w:hAnsi="Times New Roman" w:cs="Times New Roman"/>
          <w:sz w:val="28"/>
          <w:szCs w:val="28"/>
        </w:rPr>
      </w:pPr>
      <w:r w:rsidRPr="002B38EC">
        <w:rPr>
          <w:rFonts w:ascii="Times New Roman" w:hAnsi="Times New Roman" w:cs="Times New Roman"/>
          <w:sz w:val="28"/>
          <w:szCs w:val="28"/>
        </w:rPr>
        <w:t xml:space="preserve">Использование </w:t>
      </w:r>
      <w:bookmarkStart w:id="0" w:name="_GoBack"/>
      <w:r w:rsidRPr="00C80DB4">
        <w:rPr>
          <w:rFonts w:ascii="Times New Roman" w:hAnsi="Times New Roman" w:cs="Times New Roman"/>
          <w:i/>
          <w:sz w:val="28"/>
          <w:szCs w:val="28"/>
          <w:u w:val="single"/>
        </w:rPr>
        <w:t>интегральных приборов учета</w:t>
      </w:r>
      <w:r w:rsidRPr="002B38EC">
        <w:rPr>
          <w:rFonts w:ascii="Times New Roman" w:hAnsi="Times New Roman" w:cs="Times New Roman"/>
          <w:sz w:val="28"/>
          <w:szCs w:val="28"/>
        </w:rPr>
        <w:t xml:space="preserve"> </w:t>
      </w:r>
      <w:bookmarkEnd w:id="0"/>
      <w:r w:rsidRPr="002B38EC">
        <w:rPr>
          <w:rFonts w:ascii="Times New Roman" w:hAnsi="Times New Roman" w:cs="Times New Roman"/>
          <w:sz w:val="28"/>
          <w:szCs w:val="28"/>
        </w:rPr>
        <w:t xml:space="preserve">допускается по точкам поставки на объектах электросетевого хозяйства напряжением 10 </w:t>
      </w:r>
      <w:proofErr w:type="spellStart"/>
      <w:r w:rsidRPr="002B38EC">
        <w:rPr>
          <w:rFonts w:ascii="Times New Roman" w:hAnsi="Times New Roman" w:cs="Times New Roman"/>
          <w:sz w:val="28"/>
          <w:szCs w:val="28"/>
        </w:rPr>
        <w:t>кВ</w:t>
      </w:r>
      <w:proofErr w:type="spellEnd"/>
      <w:r w:rsidRPr="002B38EC">
        <w:rPr>
          <w:rFonts w:ascii="Times New Roman" w:hAnsi="Times New Roman" w:cs="Times New Roman"/>
          <w:sz w:val="28"/>
          <w:szCs w:val="28"/>
        </w:rPr>
        <w:t xml:space="preserve">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w:t>
      </w:r>
      <w:r w:rsidRPr="002B38EC">
        <w:rPr>
          <w:rFonts w:ascii="Times New Roman" w:hAnsi="Times New Roman" w:cs="Times New Roman"/>
          <w:sz w:val="28"/>
          <w:szCs w:val="28"/>
        </w:rPr>
        <w:lastRenderedPageBreak/>
        <w:t xml:space="preserve">оборудованным интегральными приборами учета, производится следующим образом. </w:t>
      </w:r>
      <w:proofErr w:type="gramStart"/>
      <w:r w:rsidRPr="002B38EC">
        <w:rPr>
          <w:rFonts w:ascii="Times New Roman" w:hAnsi="Times New Roman" w:cs="Times New Roman"/>
          <w:sz w:val="28"/>
          <w:szCs w:val="28"/>
        </w:rPr>
        <w:t>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w:t>
      </w:r>
      <w:proofErr w:type="gramEnd"/>
      <w:r w:rsidRPr="002B38EC">
        <w:rPr>
          <w:rFonts w:ascii="Times New Roman" w:hAnsi="Times New Roman" w:cs="Times New Roman"/>
          <w:sz w:val="28"/>
          <w:szCs w:val="28"/>
        </w:rPr>
        <w:t xml:space="preserve">, </w:t>
      </w:r>
      <w:proofErr w:type="gramStart"/>
      <w:r w:rsidRPr="002B38EC">
        <w:rPr>
          <w:rFonts w:ascii="Times New Roman" w:hAnsi="Times New Roman" w:cs="Times New Roman"/>
          <w:sz w:val="28"/>
          <w:szCs w:val="28"/>
        </w:rPr>
        <w:t>оборудованным</w:t>
      </w:r>
      <w:proofErr w:type="gramEnd"/>
      <w:r w:rsidRPr="002B38EC">
        <w:rPr>
          <w:rFonts w:ascii="Times New Roman" w:hAnsi="Times New Roman" w:cs="Times New Roman"/>
          <w:sz w:val="28"/>
          <w:szCs w:val="28"/>
        </w:rPr>
        <w:t xml:space="preserve"> приборами учета, позволяющими измерять почасовые объемы потребления электрической энергии.</w:t>
      </w:r>
    </w:p>
    <w:p w:rsidR="007B7F72" w:rsidRDefault="007B7F72"/>
    <w:sectPr w:rsidR="007B7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B4336"/>
    <w:multiLevelType w:val="hybridMultilevel"/>
    <w:tmpl w:val="A2029426"/>
    <w:lvl w:ilvl="0" w:tplc="1F348458">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AC"/>
    <w:rsid w:val="005C47AC"/>
    <w:rsid w:val="007477F2"/>
    <w:rsid w:val="00777DB0"/>
    <w:rsid w:val="007B7F72"/>
    <w:rsid w:val="00891213"/>
    <w:rsid w:val="00BE29B6"/>
    <w:rsid w:val="00C80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9B6"/>
    <w:pPr>
      <w:ind w:left="720"/>
      <w:contextualSpacing/>
    </w:pPr>
  </w:style>
  <w:style w:type="paragraph" w:customStyle="1" w:styleId="ConsPlusNormal">
    <w:name w:val="ConsPlusNormal"/>
    <w:rsid w:val="00BE29B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9B6"/>
    <w:pPr>
      <w:ind w:left="720"/>
      <w:contextualSpacing/>
    </w:pPr>
  </w:style>
  <w:style w:type="paragraph" w:customStyle="1" w:styleId="ConsPlusNormal">
    <w:name w:val="ConsPlusNormal"/>
    <w:rsid w:val="00BE29B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2013-02-19T12:00:00Z</dcterms:created>
  <dcterms:modified xsi:type="dcterms:W3CDTF">2013-02-20T05:18:00Z</dcterms:modified>
</cp:coreProperties>
</file>