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C4511A" w:rsidTr="00C4511A">
        <w:tc>
          <w:tcPr>
            <w:tcW w:w="3480" w:type="dxa"/>
          </w:tcPr>
          <w:p w:rsidR="00C4511A" w:rsidRDefault="00C4511A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3 </w:t>
            </w:r>
          </w:p>
          <w:p w:rsidR="00C4511A" w:rsidRDefault="00C4511A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C4511A" w:rsidRDefault="00C4511A" w:rsidP="00F747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F747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22.01.2020 г.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F747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0934F5" w:rsidRDefault="000934F5" w:rsidP="000218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4511A" w:rsidRPr="00C4511A" w:rsidRDefault="00C4511A" w:rsidP="00C4511A"/>
    <w:p w:rsidR="00D26658" w:rsidRPr="00783C17" w:rsidRDefault="00783C17" w:rsidP="000218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3C17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0C69B2" w:rsidRPr="00783C17" w:rsidRDefault="000C69B2" w:rsidP="00021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783C17" w:rsidRDefault="00783C17" w:rsidP="00021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="000934F5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5F2F3E" w:rsidRPr="00783C17" w:rsidRDefault="005F2F3E" w:rsidP="00021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783C17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D26658" w:rsidRPr="00783C17">
        <w:rPr>
          <w:rFonts w:ascii="Times New Roman" w:hAnsi="Times New Roman" w:cs="Times New Roman"/>
          <w:b/>
          <w:sz w:val="24"/>
          <w:szCs w:val="24"/>
        </w:rPr>
        <w:br/>
      </w:r>
      <w:r w:rsidRPr="00783C17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83C17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783C17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783C17">
        <w:rPr>
          <w:rFonts w:ascii="Times New Roman" w:hAnsi="Times New Roman" w:cs="Times New Roman"/>
          <w:b/>
          <w:sz w:val="24"/>
          <w:szCs w:val="24"/>
        </w:rPr>
        <w:t>0</w:t>
      </w:r>
      <w:r w:rsidRPr="00783C17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783C17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783C17" w:rsidRDefault="00D26658" w:rsidP="0002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783C17" w:rsidRDefault="00783C17" w:rsidP="000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83C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D1E" w:rsidRPr="00E57D1E">
        <w:rPr>
          <w:rFonts w:ascii="Times New Roman" w:hAnsi="Times New Roman" w:cs="Times New Roman"/>
          <w:sz w:val="24"/>
          <w:szCs w:val="24"/>
        </w:rPr>
        <w:t>физическое лицо</w:t>
      </w:r>
      <w:r w:rsidR="00E57D1E">
        <w:rPr>
          <w:rFonts w:ascii="Times New Roman" w:hAnsi="Times New Roman" w:cs="Times New Roman"/>
          <w:sz w:val="24"/>
          <w:szCs w:val="24"/>
        </w:rPr>
        <w:t>,</w:t>
      </w:r>
      <w:r w:rsidR="00E57D1E" w:rsidRPr="00E57D1E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783C17">
        <w:rPr>
          <w:rFonts w:ascii="Times New Roman" w:hAnsi="Times New Roman" w:cs="Times New Roman"/>
          <w:sz w:val="24"/>
          <w:szCs w:val="24"/>
        </w:rPr>
        <w:t>юридическое лицо</w:t>
      </w:r>
      <w:r w:rsidR="003B74CA">
        <w:rPr>
          <w:rFonts w:ascii="Times New Roman" w:hAnsi="Times New Roman" w:cs="Times New Roman"/>
          <w:sz w:val="24"/>
          <w:szCs w:val="24"/>
        </w:rPr>
        <w:t xml:space="preserve"> </w:t>
      </w:r>
      <w:r w:rsidR="00040D43">
        <w:rPr>
          <w:rFonts w:ascii="Times New Roman" w:hAnsi="Times New Roman" w:cs="Times New Roman"/>
          <w:sz w:val="24"/>
          <w:szCs w:val="24"/>
        </w:rPr>
        <w:t>и</w:t>
      </w:r>
      <w:r w:rsidR="00E57D1E">
        <w:rPr>
          <w:rFonts w:ascii="Times New Roman" w:hAnsi="Times New Roman" w:cs="Times New Roman"/>
          <w:sz w:val="24"/>
          <w:szCs w:val="24"/>
        </w:rPr>
        <w:t>ли</w:t>
      </w:r>
      <w:r w:rsidR="0058149F" w:rsidRPr="00783C17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r w:rsidR="000B07B6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783C1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83C17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783C17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783C17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783C17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783C17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783C17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D26658" w:rsidRPr="00783C17" w:rsidRDefault="00783C17" w:rsidP="0002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8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783C1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="00D26658" w:rsidRPr="00783C17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D26658" w:rsidRPr="00783C17">
        <w:rPr>
          <w:rFonts w:ascii="Times New Roman" w:hAnsi="Times New Roman" w:cs="Times New Roman"/>
          <w:sz w:val="24"/>
          <w:szCs w:val="24"/>
        </w:rPr>
        <w:t>ючительно</w:t>
      </w:r>
      <w:r w:rsidR="0002188B">
        <w:rPr>
          <w:rFonts w:ascii="Times New Roman" w:hAnsi="Times New Roman" w:cs="Times New Roman"/>
          <w:sz w:val="24"/>
          <w:szCs w:val="24"/>
        </w:rPr>
        <w:t>,</w:t>
      </w:r>
      <w:r w:rsidR="00D26658" w:rsidRPr="00783C17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</w:t>
      </w:r>
      <w:r w:rsidR="009C33E7" w:rsidRPr="00783C17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58149F" w:rsidRPr="00783C17" w:rsidRDefault="00783C17" w:rsidP="0002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783C17">
        <w:rPr>
          <w:rFonts w:ascii="Times New Roman" w:hAnsi="Times New Roman" w:cs="Times New Roman"/>
          <w:sz w:val="24"/>
          <w:szCs w:val="24"/>
        </w:rPr>
        <w:t xml:space="preserve"> </w:t>
      </w:r>
      <w:r w:rsidR="00A97E79" w:rsidRPr="00A97E79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r w:rsidR="0058149F" w:rsidRPr="00783C1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783C17" w:rsidRDefault="00783C17" w:rsidP="0002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783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783C17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783C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="008C2E25" w:rsidRPr="00783C17">
        <w:rPr>
          <w:rFonts w:ascii="Times New Roman" w:hAnsi="Times New Roman" w:cs="Times New Roman"/>
          <w:sz w:val="24"/>
          <w:szCs w:val="24"/>
        </w:rPr>
        <w:t>.</w:t>
      </w:r>
    </w:p>
    <w:p w:rsidR="00FC33E3" w:rsidRPr="00B10575" w:rsidRDefault="00783C17" w:rsidP="000218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5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B1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B10575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B1057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B10575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B1057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B1057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B10575">
        <w:rPr>
          <w:rFonts w:ascii="Times New Roman" w:hAnsi="Times New Roman" w:cs="Times New Roman"/>
          <w:sz w:val="24"/>
          <w:szCs w:val="24"/>
        </w:rPr>
        <w:t>:</w:t>
      </w:r>
    </w:p>
    <w:p w:rsidR="00FC33E3" w:rsidRPr="00B10575" w:rsidRDefault="00FC33E3" w:rsidP="0002188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10575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B10575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B10575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B10575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B10575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B10575">
        <w:rPr>
          <w:rFonts w:ascii="Times New Roman" w:hAnsi="Times New Roman" w:cs="Times New Roman"/>
          <w:sz w:val="24"/>
          <w:szCs w:val="24"/>
        </w:rPr>
        <w:t>;</w:t>
      </w:r>
    </w:p>
    <w:p w:rsidR="00195358" w:rsidRDefault="00195358" w:rsidP="0002188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575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B10575">
        <w:rPr>
          <w:rFonts w:ascii="Times New Roman" w:hAnsi="Times New Roman" w:cs="Times New Roman"/>
          <w:b/>
          <w:sz w:val="24"/>
          <w:szCs w:val="24"/>
        </w:rPr>
        <w:t>1</w:t>
      </w:r>
      <w:r w:rsidRPr="00B1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B10575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B10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B1057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B1057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 w:rsidRPr="00B10575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4511A" w:rsidRPr="00B10575" w:rsidRDefault="00C4511A" w:rsidP="00C4511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Default="00783C17" w:rsidP="000218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02188B" w:rsidRPr="00783C17" w:rsidRDefault="0002188B" w:rsidP="000218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88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988"/>
        <w:gridCol w:w="2555"/>
      </w:tblGrid>
      <w:tr w:rsidR="00783C17" w:rsidRPr="00783C17" w:rsidTr="00C4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CA183B" w:rsidRPr="00783C17" w:rsidRDefault="00CA183B" w:rsidP="0002188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02188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:rsidR="00CA183B" w:rsidRPr="00783C17" w:rsidRDefault="00CA183B" w:rsidP="00021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02188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:rsidR="00CA183B" w:rsidRPr="00783C17" w:rsidRDefault="00CA183B" w:rsidP="00021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02188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1" w:type="pct"/>
            <w:shd w:val="clear" w:color="auto" w:fill="auto"/>
          </w:tcPr>
          <w:p w:rsidR="00CA183B" w:rsidRPr="00783C17" w:rsidRDefault="00CA183B" w:rsidP="00021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02FF2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02FF2" w:rsidRPr="00783C17" w:rsidRDefault="00702FF2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2FF2" w:rsidRPr="00783C17" w:rsidRDefault="00702FF2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02FF2" w:rsidRPr="00783C17" w:rsidRDefault="00702FF2" w:rsidP="000218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2FF2" w:rsidRPr="00783C17" w:rsidRDefault="00702FF2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702FF2" w:rsidRPr="00783C17" w:rsidRDefault="00702FF2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02FF2" w:rsidRPr="00C27E25" w:rsidRDefault="00702FF2" w:rsidP="0002188B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702FF2" w:rsidRPr="00C27E25" w:rsidRDefault="00702FF2" w:rsidP="0002188B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702FF2" w:rsidRPr="00C27E25" w:rsidRDefault="00702FF2" w:rsidP="0002188B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2FF2" w:rsidRPr="00783C17" w:rsidRDefault="00702FF2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2FF2" w:rsidRPr="00783C17" w:rsidRDefault="0052277B" w:rsidP="00E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Пункты  8-10, </w:t>
            </w:r>
            <w:r w:rsidR="00ED1B44">
              <w:rPr>
                <w:rFonts w:ascii="Times New Roman" w:hAnsi="Times New Roman" w:cs="Times New Roman"/>
              </w:rPr>
              <w:t>12</w:t>
            </w:r>
            <w:r w:rsidR="00702FF2" w:rsidRPr="00783C17">
              <w:rPr>
                <w:rFonts w:ascii="Times New Roman" w:hAnsi="Times New Roman" w:cs="Times New Roman"/>
              </w:rPr>
              <w:t xml:space="preserve"> </w:t>
            </w:r>
            <w:r w:rsidR="006D1FF2" w:rsidRPr="006D1FF2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– Правила).</w:t>
            </w:r>
          </w:p>
        </w:tc>
      </w:tr>
      <w:tr w:rsidR="00783C17" w:rsidRPr="00783C17" w:rsidTr="00C4511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FA6398" w:rsidRPr="00783C17" w:rsidRDefault="00FA6398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:rsidR="00FA6398" w:rsidRPr="00783C17" w:rsidRDefault="00FA6398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:rsidR="00FA6398" w:rsidRPr="00783C17" w:rsidRDefault="00FA6398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52277B" w:rsidP="0052277B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6398"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A6398"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01" w:type="pct"/>
            <w:shd w:val="clear" w:color="auto" w:fill="auto"/>
          </w:tcPr>
          <w:p w:rsidR="00FA6398" w:rsidRPr="00783C17" w:rsidRDefault="00FA6398" w:rsidP="006D1FF2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ED0565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ED0565" w:rsidRPr="00783C17" w:rsidRDefault="00ED0565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auto"/>
          </w:tcPr>
          <w:p w:rsidR="00ED0565" w:rsidRPr="00783C17" w:rsidRDefault="00ED0565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:rsidR="00ED0565" w:rsidRPr="00783C17" w:rsidRDefault="00ED0565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ED0565" w:rsidRPr="009B5420" w:rsidRDefault="00ED0565" w:rsidP="005B1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сетевой организацией копии заявки на рассмотрение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системному оператору</w:t>
            </w:r>
          </w:p>
        </w:tc>
        <w:tc>
          <w:tcPr>
            <w:tcW w:w="798" w:type="pct"/>
            <w:shd w:val="clear" w:color="auto" w:fill="auto"/>
          </w:tcPr>
          <w:p w:rsidR="00ED0565" w:rsidRPr="009B5420" w:rsidRDefault="00ED0565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ED0565" w:rsidRPr="009B5420" w:rsidRDefault="00ED0565" w:rsidP="005B1B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01" w:type="pct"/>
            <w:shd w:val="clear" w:color="auto" w:fill="auto"/>
          </w:tcPr>
          <w:p w:rsidR="00ED0565" w:rsidRPr="009B5420" w:rsidRDefault="00ED0565" w:rsidP="005B1BCF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9B5420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783C17" w:rsidRPr="00783C17" w:rsidTr="00C4511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:rsidR="002C56E2" w:rsidRPr="00783C17" w:rsidRDefault="002C56E2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02188B" w:rsidRDefault="002C56E2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2C56E2" w:rsidRPr="0002188B" w:rsidRDefault="002C56E2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02188B" w:rsidRDefault="002C56E2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shd w:val="clear" w:color="auto" w:fill="auto"/>
          </w:tcPr>
          <w:p w:rsidR="002C56E2" w:rsidRPr="0002188B" w:rsidRDefault="002C56E2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2188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F336FE" w:rsidRPr="0002188B">
              <w:rPr>
                <w:rFonts w:ascii="Times New Roman" w:hAnsi="Times New Roman" w:cs="Times New Roman"/>
              </w:rPr>
              <w:t>, или посредством официального сайта сетевой организации с применение электронный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A00217" w:rsidRDefault="00A00217" w:rsidP="00A0021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0217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со дня  получения заявки; </w:t>
            </w:r>
          </w:p>
          <w:p w:rsidR="002C56E2" w:rsidRPr="00783C17" w:rsidRDefault="00A00217" w:rsidP="00A002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21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ED1B4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00217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</w:t>
            </w:r>
            <w:proofErr w:type="gramStart"/>
            <w:r w:rsidRPr="00A00217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A00217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01" w:type="pct"/>
            <w:shd w:val="clear" w:color="auto" w:fill="auto"/>
          </w:tcPr>
          <w:p w:rsidR="002C56E2" w:rsidRPr="00783C17" w:rsidRDefault="002C56E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83C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2C56E2" w:rsidRPr="00783C17" w:rsidRDefault="002C56E2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2C56E2" w:rsidRPr="00783C17" w:rsidRDefault="002C56E2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D1B44" w:rsidRPr="00ED1B44" w:rsidRDefault="002C56E2" w:rsidP="00ED1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1B44" w:rsidRPr="00ED1B4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</w:t>
            </w:r>
          </w:p>
          <w:p w:rsidR="00ED1B44" w:rsidRPr="00ED1B44" w:rsidRDefault="00ED1B44" w:rsidP="00ED1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44">
              <w:rPr>
                <w:rFonts w:ascii="Times New Roman" w:eastAsia="Times New Roman" w:hAnsi="Times New Roman" w:cs="Times New Roman"/>
                <w:lang w:eastAsia="ru-RU"/>
              </w:rPr>
              <w:t>- двух  экземпляров проекта договора и направление  одного  экземпляра сетевой организации с приложением к нему документов, подтверждающих полномочия лица, подписавшего такой договор;</w:t>
            </w:r>
          </w:p>
          <w:p w:rsidR="002C56E2" w:rsidRPr="00783C17" w:rsidRDefault="00ED1B44" w:rsidP="00ED1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B44">
              <w:rPr>
                <w:rFonts w:ascii="Times New Roman" w:eastAsia="Times New Roman" w:hAnsi="Times New Roman" w:cs="Times New Roman"/>
                <w:lang w:eastAsia="ru-RU"/>
              </w:rPr>
              <w:t xml:space="preserve">- проекта договора </w:t>
            </w:r>
            <w:r w:rsidRPr="00ED1B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простой электронной подписи (для физических лиц) либо усиленной квалифицированной электронной подписи (для юридических лиц или индивидуальных предпринимателей).</w:t>
            </w:r>
          </w:p>
        </w:tc>
        <w:tc>
          <w:tcPr>
            <w:tcW w:w="798" w:type="pct"/>
            <w:shd w:val="clear" w:color="auto" w:fill="auto"/>
          </w:tcPr>
          <w:p w:rsidR="002C56E2" w:rsidRPr="00783C17" w:rsidRDefault="002C56E2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A00217" w:rsidP="000218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="002C56E2"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дня получения заявителем проекта договора.</w:t>
            </w:r>
          </w:p>
          <w:p w:rsidR="002C56E2" w:rsidRPr="00783C17" w:rsidRDefault="002C56E2" w:rsidP="00A002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842C1" w:rsidRPr="00783C17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</w:t>
            </w:r>
            <w:r w:rsidR="00A00217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дней  –  заявка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аннулируется.</w:t>
            </w:r>
          </w:p>
        </w:tc>
        <w:tc>
          <w:tcPr>
            <w:tcW w:w="901" w:type="pct"/>
            <w:shd w:val="clear" w:color="auto" w:fill="auto"/>
          </w:tcPr>
          <w:p w:rsidR="002C56E2" w:rsidRPr="00783C17" w:rsidRDefault="002C56E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A00217" w:rsidRPr="00783C17" w:rsidTr="00C4511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single" w:sz="4" w:space="0" w:color="auto"/>
            </w:tcBorders>
            <w:shd w:val="clear" w:color="auto" w:fill="auto"/>
          </w:tcPr>
          <w:p w:rsidR="00A00217" w:rsidRPr="00731F68" w:rsidRDefault="00A00217" w:rsidP="00F55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A00217">
              <w:rPr>
                <w:rFonts w:ascii="Times New Roman" w:eastAsia="Times New Roman" w:hAnsi="Times New Roman"/>
                <w:b/>
                <w:bCs/>
                <w:lang w:eastAsia="ru-RU"/>
              </w:rPr>
              <w:t>2.3.</w:t>
            </w:r>
            <w:r w:rsidRPr="00A00217"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>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8" w:type="pct"/>
            <w:shd w:val="clear" w:color="auto" w:fill="auto"/>
          </w:tcPr>
          <w:p w:rsidR="00A00217" w:rsidRPr="00731F68" w:rsidRDefault="00A00217" w:rsidP="00F55D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Письменная </w:t>
            </w:r>
            <w:r>
              <w:rPr>
                <w:rFonts w:ascii="Times New Roman" w:eastAsia="Times New Roman" w:hAnsi="Times New Roman"/>
                <w:lang w:eastAsia="ru-RU"/>
              </w:rPr>
              <w:t>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A00217" w:rsidRPr="00731F68" w:rsidRDefault="00A00217" w:rsidP="00F55D0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731F68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>1</w:t>
            </w:r>
            <w:r w:rsidRPr="00731F68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рабочих </w:t>
            </w:r>
            <w:r w:rsidRPr="00731F68">
              <w:rPr>
                <w:rFonts w:ascii="Times New Roman" w:hAnsi="Times New Roman"/>
              </w:rPr>
              <w:t>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F55D08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A002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A00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747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798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88B">
              <w:rPr>
                <w:rFonts w:ascii="Times New Roman" w:hAnsi="Times New Roman" w:cs="Times New Roman"/>
              </w:rPr>
              <w:t xml:space="preserve">или посредством официального сайта </w:t>
            </w:r>
            <w:r w:rsidRPr="0002188B">
              <w:rPr>
                <w:rFonts w:ascii="Times New Roman" w:hAnsi="Times New Roman" w:cs="Times New Roman"/>
              </w:rPr>
              <w:lastRenderedPageBreak/>
              <w:t>сетевой организации с применение электронный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A00217" w:rsidRPr="00783C17" w:rsidTr="00C4511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A00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00217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договора, копию заявки на технологическое присоединение и копии представленных документов заявителем в соответствии с п. 10 Правил технологического присоединения энергопринимающих устройств потребителей электрической энергии</w:t>
            </w:r>
            <w:r w:rsidR="00003731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A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8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</w:t>
            </w:r>
            <w:r w:rsidR="006017F1">
              <w:rPr>
                <w:rFonts w:ascii="Times New Roman" w:hAnsi="Times New Roman" w:cs="Times New Roman"/>
              </w:rPr>
              <w:t xml:space="preserve"> (1)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</w:p>
        </w:tc>
      </w:tr>
      <w:tr w:rsidR="00A002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Pr="00783C17">
              <w:rPr>
                <w:rFonts w:ascii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 xml:space="preserve"> Оплата услуг по договору об осуществлении </w:t>
            </w: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17" w:rsidRPr="00783C17" w:rsidRDefault="00A00217" w:rsidP="006017F1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</w:t>
            </w:r>
            <w:r w:rsidR="006017F1">
              <w:rPr>
                <w:rFonts w:ascii="Times New Roman" w:hAnsi="Times New Roman" w:cs="Times New Roman"/>
              </w:rPr>
              <w:t>16</w:t>
            </w:r>
            <w:r w:rsidR="005A6542">
              <w:rPr>
                <w:rFonts w:ascii="Times New Roman" w:hAnsi="Times New Roman" w:cs="Times New Roman"/>
              </w:rPr>
              <w:t>.4</w:t>
            </w:r>
            <w:r w:rsidRPr="00783C17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A00217" w:rsidRPr="00783C17" w:rsidTr="00C451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188B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0217" w:rsidRPr="00783C17" w:rsidRDefault="006017F1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 Правил</w:t>
            </w:r>
          </w:p>
        </w:tc>
      </w:tr>
      <w:tr w:rsidR="00A002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188B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1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217" w:rsidRPr="00783C17" w:rsidTr="00C4511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F747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F747F9">
              <w:rPr>
                <w:rFonts w:ascii="Times New Roman" w:hAnsi="Times New Roman" w:cs="Times New Roman"/>
              </w:rPr>
              <w:t xml:space="preserve"> </w:t>
            </w:r>
            <w:r w:rsidRPr="0002188B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</w:t>
            </w:r>
            <w:r w:rsidRPr="0002188B">
              <w:rPr>
                <w:rFonts w:ascii="Times New Roman" w:hAnsi="Times New Roman" w:cs="Times New Roman"/>
              </w:rPr>
              <w:lastRenderedPageBreak/>
              <w:t>сведения о сертификации;</w:t>
            </w:r>
          </w:p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2188B">
              <w:rPr>
                <w:rFonts w:ascii="Times New Roman" w:hAnsi="Times New Roman" w:cs="Times New Roman"/>
              </w:rPr>
              <w:t>б)</w:t>
            </w:r>
            <w:r w:rsidRPr="000218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2188B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</w:t>
            </w:r>
            <w:r w:rsidRPr="0002188B">
              <w:rPr>
                <w:rFonts w:ascii="Times New Roman" w:hAnsi="Times New Roman" w:cs="Times New Roman"/>
              </w:rPr>
              <w:lastRenderedPageBreak/>
              <w:t>градостроительной</w:t>
            </w:r>
            <w:proofErr w:type="gramEnd"/>
            <w:r w:rsidRPr="0002188B">
              <w:rPr>
                <w:rFonts w:ascii="Times New Roman" w:hAnsi="Times New Roman" w:cs="Times New Roman"/>
              </w:rPr>
              <w:t xml:space="preserve"> деятельности разработка проектной документации является обязательной);</w:t>
            </w:r>
          </w:p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 xml:space="preserve"> 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A00217" w:rsidRPr="0002188B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88B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</w:p>
          <w:p w:rsidR="00D27D92" w:rsidRPr="00D27D92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t>(</w:t>
            </w:r>
            <w:r w:rsidRPr="0002188B">
              <w:rPr>
                <w:rFonts w:ascii="Times New Roman" w:hAnsi="Times New Roman" w:cs="Times New Roman"/>
              </w:rPr>
      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02188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2188B">
              <w:rPr>
                <w:rFonts w:ascii="Times New Roman" w:hAnsi="Times New Roman" w:cs="Times New Roman"/>
              </w:rPr>
              <w:t xml:space="preserve">, осветительные установки, </w:t>
            </w:r>
            <w:r w:rsidRPr="0002188B">
              <w:rPr>
                <w:rFonts w:ascii="Times New Roman" w:hAnsi="Times New Roman" w:cs="Times New Roman"/>
              </w:rPr>
              <w:lastRenderedPageBreak/>
              <w:t xml:space="preserve">переносное электрооборудование и </w:t>
            </w:r>
            <w:proofErr w:type="spellStart"/>
            <w:r w:rsidRPr="0002188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02188B">
              <w:rPr>
                <w:rFonts w:ascii="Times New Roman" w:hAnsi="Times New Roman" w:cs="Times New Roman"/>
              </w:rPr>
              <w:t xml:space="preserve"> устройства номинальным напряжением не выше 380 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02188B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01" w:type="pct"/>
            <w:shd w:val="clear" w:color="auto" w:fill="auto"/>
          </w:tcPr>
          <w:p w:rsidR="00A002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85, 86 Правил </w:t>
            </w: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27D92" w:rsidRPr="00783C17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D92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D27D92" w:rsidRPr="00783C17" w:rsidRDefault="00D27D92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auto"/>
          </w:tcPr>
          <w:p w:rsidR="00D27D92" w:rsidRPr="00783C17" w:rsidRDefault="00D27D92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D27D92" w:rsidRPr="00783C17" w:rsidRDefault="00D27D92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D27D92" w:rsidRPr="0002188B" w:rsidRDefault="00D27D92" w:rsidP="00D27D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D92">
              <w:rPr>
                <w:rFonts w:ascii="Times New Roman" w:eastAsia="Times New Roman" w:hAnsi="Times New Roman"/>
                <w:b/>
                <w:bCs/>
                <w:lang w:eastAsia="ru-RU"/>
              </w:rPr>
              <w:t>3.5</w:t>
            </w:r>
            <w:bookmarkStart w:id="0" w:name="_GoBack"/>
            <w:r w:rsidRPr="00F747F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bookmarkEnd w:id="0"/>
            <w:r w:rsidRPr="00D27D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субъекта розничного рынка подписанного договора энергоснабжения (купли-продажи электрической энергии)</w:t>
            </w:r>
          </w:p>
        </w:tc>
        <w:tc>
          <w:tcPr>
            <w:tcW w:w="798" w:type="pct"/>
            <w:shd w:val="clear" w:color="auto" w:fill="auto"/>
          </w:tcPr>
          <w:p w:rsidR="00D27D92" w:rsidRPr="004B795B" w:rsidRDefault="00D27D92" w:rsidP="00F55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D27D92" w:rsidRPr="004B795B" w:rsidRDefault="00D27D92" w:rsidP="00F55D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подписанного договора об осуществлении технологического присоединения</w:t>
            </w:r>
          </w:p>
        </w:tc>
        <w:tc>
          <w:tcPr>
            <w:tcW w:w="901" w:type="pct"/>
            <w:shd w:val="clear" w:color="auto" w:fill="auto"/>
          </w:tcPr>
          <w:p w:rsidR="00D27D92" w:rsidRPr="00783C17" w:rsidRDefault="00D27D92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D92">
              <w:rPr>
                <w:rFonts w:ascii="Times New Roman" w:hAnsi="Times New Roman" w:cs="Times New Roman"/>
              </w:rPr>
              <w:t xml:space="preserve">Пункт 39(1) </w:t>
            </w:r>
            <w:r w:rsidR="000E3B80" w:rsidRPr="000E3B80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энергии, утвержденных постановлением Правительства РФ от 04.05.2012 № 442 (далее – Основы функционирования розничных рынков)</w:t>
            </w:r>
          </w:p>
        </w:tc>
      </w:tr>
      <w:tr w:rsidR="00A00217" w:rsidRPr="00783C17" w:rsidTr="00C4511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783C17">
              <w:rPr>
                <w:rFonts w:ascii="Times New Roman" w:hAnsi="Times New Roman" w:cs="Times New Roman"/>
              </w:rPr>
              <w:t xml:space="preserve"> </w:t>
            </w:r>
            <w:r w:rsidR="00D27D92" w:rsidRPr="00D27D92">
              <w:rPr>
                <w:rFonts w:ascii="Times New Roman" w:hAnsi="Times New Roman" w:cs="Times New Roman"/>
              </w:rPr>
              <w:t xml:space="preserve"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Допуск к эксплуатации установленного прибора </w:t>
            </w:r>
            <w:r w:rsidR="00D27D92" w:rsidRPr="00D27D92">
              <w:rPr>
                <w:rFonts w:ascii="Times New Roman" w:hAnsi="Times New Roman" w:cs="Times New Roman"/>
              </w:rPr>
              <w:lastRenderedPageBreak/>
              <w:t>учета.</w:t>
            </w:r>
          </w:p>
        </w:tc>
        <w:tc>
          <w:tcPr>
            <w:tcW w:w="798" w:type="pct"/>
            <w:shd w:val="clear" w:color="auto" w:fill="auto"/>
          </w:tcPr>
          <w:p w:rsidR="00A002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по форме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02188B">
              <w:rPr>
                <w:rFonts w:ascii="Times New Roman" w:hAnsi="Times New Roman" w:cs="Times New Roman"/>
              </w:rPr>
              <w:t xml:space="preserve"> 15 (далее - акт о выполнении технических условий)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r w:rsidRPr="0002188B">
              <w:rPr>
                <w:rFonts w:ascii="Times New Roman" w:hAnsi="Times New Roman" w:cs="Times New Roman"/>
              </w:rPr>
              <w:t>.</w:t>
            </w:r>
          </w:p>
          <w:p w:rsidR="0093695E" w:rsidRPr="0002188B" w:rsidRDefault="0093695E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695E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  <w:p w:rsidR="00A00217" w:rsidRPr="006017F1" w:rsidRDefault="00A00217" w:rsidP="00601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8F50AA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00217" w:rsidRPr="00783C17">
              <w:rPr>
                <w:rFonts w:ascii="Times New Roman" w:hAnsi="Times New Roman" w:cs="Times New Roman"/>
              </w:rPr>
              <w:t>течение 10 дней со дня получения от заявителя документов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83-89 Правил </w:t>
            </w:r>
          </w:p>
        </w:tc>
      </w:tr>
      <w:tr w:rsidR="0093695E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93695E" w:rsidRPr="00783C17" w:rsidRDefault="0093695E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shd w:val="clear" w:color="auto" w:fill="auto"/>
          </w:tcPr>
          <w:p w:rsidR="0093695E" w:rsidRPr="00783C17" w:rsidRDefault="0093695E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93695E" w:rsidRPr="00783C17" w:rsidRDefault="0093695E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r w:rsidRPr="0093695E">
              <w:rPr>
                <w:rFonts w:ascii="Times New Roman" w:eastAsia="Times New Roman" w:hAnsi="Times New Roman" w:cs="Times New Roman"/>
                <w:lang w:eastAsia="ru-RU"/>
              </w:rPr>
              <w:t xml:space="preserve"> невыполнении требований технических условий сетевая организация в письменной форме уведомляет об этом заявителя.                        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93695E" w:rsidRPr="0093695E" w:rsidRDefault="0093695E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36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Повторный осмотр электроустановки заявителя. Допуск к эксплуатации установленного прибора учета.</w:t>
            </w:r>
          </w:p>
        </w:tc>
        <w:tc>
          <w:tcPr>
            <w:tcW w:w="798" w:type="pct"/>
            <w:shd w:val="clear" w:color="auto" w:fill="auto"/>
          </w:tcPr>
          <w:p w:rsidR="0093695E" w:rsidRDefault="0093695E" w:rsidP="00936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695E">
              <w:rPr>
                <w:rFonts w:ascii="Times New Roman" w:hAnsi="Times New Roman" w:cs="Times New Roman"/>
              </w:rPr>
              <w:t>Акт о выполнении технических условий по форме согласно приложению № 15 (далее - акт о выполнении технических условий) правил.</w:t>
            </w:r>
          </w:p>
          <w:p w:rsidR="0093695E" w:rsidRPr="0093695E" w:rsidRDefault="0093695E" w:rsidP="00936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695E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  <w:p w:rsidR="0093695E" w:rsidRPr="0002188B" w:rsidRDefault="0093695E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93695E" w:rsidRDefault="0093695E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95E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93695E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936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pct"/>
            <w:shd w:val="clear" w:color="auto" w:fill="auto"/>
          </w:tcPr>
          <w:p w:rsidR="0093695E" w:rsidRPr="00783C17" w:rsidRDefault="0093695E" w:rsidP="008D158E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695E">
              <w:rPr>
                <w:rFonts w:ascii="Times New Roman" w:hAnsi="Times New Roman" w:cs="Times New Roman"/>
              </w:rPr>
              <w:t xml:space="preserve">Пункты 82 (1), 89 Правил </w:t>
            </w:r>
          </w:p>
        </w:tc>
      </w:tr>
      <w:tr w:rsidR="000E3B80" w:rsidRPr="00783C17" w:rsidTr="00C4511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0E3B80" w:rsidRPr="00783C17" w:rsidRDefault="000E3B80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E3B80" w:rsidRPr="00783C17" w:rsidRDefault="000E3B80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0E3B80" w:rsidRPr="00783C17" w:rsidRDefault="000E3B80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E3B80" w:rsidRPr="00783C17" w:rsidRDefault="000E3B80" w:rsidP="0019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83C17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0E3B80" w:rsidRPr="00783C17" w:rsidRDefault="000E3B80" w:rsidP="001937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:rsidR="000E3B80" w:rsidRPr="00783C17" w:rsidRDefault="00F747F9" w:rsidP="001937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0E3B80" w:rsidRPr="00783C17">
                <w:rPr>
                  <w:rFonts w:ascii="Times New Roman" w:hAnsi="Times New Roman" w:cs="Times New Roman"/>
                </w:rPr>
                <w:t>Акт</w:t>
              </w:r>
            </w:hyperlink>
            <w:r w:rsidR="000E3B80" w:rsidRPr="00783C1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E3B80" w:rsidRPr="00783C17" w:rsidRDefault="000E3B80" w:rsidP="0019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01" w:type="pct"/>
            <w:shd w:val="clear" w:color="auto" w:fill="auto"/>
          </w:tcPr>
          <w:p w:rsidR="000E3B80" w:rsidRPr="00C27E25" w:rsidRDefault="000E3B80" w:rsidP="00DE1AE6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27E25">
              <w:t xml:space="preserve">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розничных рынков электрической энергии, утвержденных </w:t>
            </w:r>
            <w:r w:rsidRPr="00C27E25">
              <w:rPr>
                <w:rFonts w:ascii="Times New Roman" w:hAnsi="Times New Roman" w:cs="Times New Roman"/>
              </w:rPr>
              <w:t>постановлением Правительства РФ от 04.05.2012 № 442</w:t>
            </w:r>
            <w:r>
              <w:rPr>
                <w:rFonts w:ascii="Times New Roman" w:hAnsi="Times New Roman" w:cs="Times New Roman"/>
              </w:rPr>
              <w:t xml:space="preserve"> (далее – Основы функционирования розничных рынков)</w:t>
            </w:r>
          </w:p>
        </w:tc>
      </w:tr>
      <w:tr w:rsidR="00A002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74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744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83C1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:rsidR="00A00217" w:rsidRPr="00783C17" w:rsidRDefault="00A00217" w:rsidP="00193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502B8E" w:rsidP="00021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2B8E">
              <w:rPr>
                <w:rFonts w:ascii="Times New Roman" w:hAnsi="Times New Roman" w:cs="Times New Roman"/>
              </w:rPr>
              <w:t>В течение 3 дней после  проверки выполнения технических условий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744E8F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Пункт 8</w:t>
            </w:r>
            <w:r w:rsidR="00744E8F">
              <w:rPr>
                <w:rFonts w:ascii="Times New Roman" w:hAnsi="Times New Roman" w:cs="Times New Roman"/>
              </w:rPr>
              <w:t>8</w:t>
            </w:r>
            <w:r w:rsidRPr="00783C17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A00217" w:rsidRPr="00783C17" w:rsidTr="00C4511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19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744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83C17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00217" w:rsidRPr="00783C17" w:rsidRDefault="00A00217" w:rsidP="00193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A00217" w:rsidRPr="00783C17" w:rsidRDefault="00A00217" w:rsidP="001937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19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88 Правил </w:t>
            </w:r>
          </w:p>
        </w:tc>
      </w:tr>
      <w:tr w:rsidR="00A4089D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A4089D" w:rsidRPr="00783C17" w:rsidRDefault="00A4089D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auto"/>
            <w:vAlign w:val="center"/>
          </w:tcPr>
          <w:p w:rsidR="00A4089D" w:rsidRPr="00783C17" w:rsidRDefault="00A4089D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A4089D" w:rsidRPr="00783C17" w:rsidRDefault="00A4089D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A4089D" w:rsidRPr="00783C17" w:rsidRDefault="00A4089D" w:rsidP="00193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A408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Заявитель направляет </w:t>
            </w:r>
            <w:proofErr w:type="gramStart"/>
            <w:r w:rsidRPr="00A4089D">
              <w:rPr>
                <w:rFonts w:ascii="Times New Roman" w:eastAsia="Times New Roman" w:hAnsi="Times New Roman" w:cs="Times New Roman"/>
                <w:bCs/>
                <w:lang w:eastAsia="ru-RU"/>
              </w:rPr>
              <w:t>в адрес органа федерального государственного энергетического надзора уведомление о готовности на ввод в эксплуатацию объектов с приложением</w:t>
            </w:r>
            <w:proofErr w:type="gramEnd"/>
            <w:r w:rsidRPr="00A408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08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необходимых документов.</w:t>
            </w:r>
          </w:p>
        </w:tc>
        <w:tc>
          <w:tcPr>
            <w:tcW w:w="798" w:type="pct"/>
            <w:shd w:val="clear" w:color="auto" w:fill="auto"/>
          </w:tcPr>
          <w:p w:rsidR="00A4089D" w:rsidRPr="00A4089D" w:rsidRDefault="00A4089D" w:rsidP="00A4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89D">
              <w:rPr>
                <w:rFonts w:ascii="Times New Roman" w:hAnsi="Times New Roman" w:cs="Times New Roman"/>
              </w:rPr>
              <w:lastRenderedPageBreak/>
              <w:t>Письменное уведомление, направленное способом, позволяющим установить дату отправки и получения уведомления</w:t>
            </w:r>
          </w:p>
          <w:p w:rsidR="00A4089D" w:rsidRPr="00783C17" w:rsidRDefault="00A4089D" w:rsidP="00193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A4089D" w:rsidRPr="00783C17" w:rsidRDefault="00A4089D" w:rsidP="0019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89D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 выполнении технических условий</w:t>
            </w:r>
          </w:p>
        </w:tc>
        <w:tc>
          <w:tcPr>
            <w:tcW w:w="901" w:type="pct"/>
            <w:shd w:val="clear" w:color="auto" w:fill="auto"/>
          </w:tcPr>
          <w:p w:rsidR="00A4089D" w:rsidRPr="004B795B" w:rsidRDefault="00A4089D" w:rsidP="008D158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B795B">
              <w:rPr>
                <w:rFonts w:ascii="Times New Roman" w:hAnsi="Times New Roman"/>
              </w:rPr>
              <w:t>Пункты 18(1), 18(2)</w:t>
            </w:r>
            <w:r>
              <w:rPr>
                <w:rFonts w:ascii="Times New Roman" w:hAnsi="Times New Roman"/>
              </w:rPr>
              <w:t xml:space="preserve">, 18(3) </w:t>
            </w:r>
            <w:r w:rsidRPr="004B795B">
              <w:rPr>
                <w:rFonts w:ascii="Times New Roman" w:hAnsi="Times New Roman"/>
              </w:rPr>
              <w:t xml:space="preserve">Правил </w:t>
            </w:r>
          </w:p>
        </w:tc>
      </w:tr>
      <w:tr w:rsidR="00D55891" w:rsidRPr="00783C17" w:rsidTr="00C4511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D55891" w:rsidRPr="00783C17" w:rsidRDefault="00D55891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auto"/>
            <w:vAlign w:val="center"/>
          </w:tcPr>
          <w:p w:rsidR="00D55891" w:rsidRPr="00783C17" w:rsidRDefault="00D55891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D55891" w:rsidRPr="00783C17" w:rsidRDefault="00D55891" w:rsidP="000218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D55891" w:rsidRPr="00D55891" w:rsidRDefault="00D55891" w:rsidP="00E75B68">
            <w:pPr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  <w:b/>
              </w:rPr>
              <w:t>4.7.</w:t>
            </w:r>
            <w:r w:rsidRPr="00D55891">
              <w:rPr>
                <w:rFonts w:ascii="Times New Roman" w:hAnsi="Times New Roman" w:cs="Times New Roman"/>
              </w:rPr>
              <w:t xml:space="preserve"> Заявитель получает разрешение органа федерального государственного энергетического надзора на допуск в эксплуатацию и направляет его в адрес сетевой организации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D5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D55891" w:rsidRPr="00D55891" w:rsidRDefault="00D55891" w:rsidP="00E7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Письменное уведомление, направленное способом, позволяющим установить дату отправки и получения разрешения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D55891" w:rsidRPr="00D55891" w:rsidRDefault="00D55891" w:rsidP="00E75B68">
            <w:pPr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pct"/>
            <w:shd w:val="clear" w:color="auto" w:fill="auto"/>
          </w:tcPr>
          <w:p w:rsidR="00D55891" w:rsidRPr="00D55891" w:rsidRDefault="00D55891" w:rsidP="008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 xml:space="preserve">Пункт 7 г) Правил </w:t>
            </w:r>
          </w:p>
        </w:tc>
      </w:tr>
      <w:tr w:rsidR="008C1FB8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8C1FB8" w:rsidRPr="00783C17" w:rsidRDefault="008C1FB8" w:rsidP="008A6E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auto"/>
          </w:tcPr>
          <w:p w:rsidR="008C1FB8" w:rsidRPr="00783C17" w:rsidRDefault="008C1FB8" w:rsidP="008A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shd w:val="clear" w:color="auto" w:fill="auto"/>
          </w:tcPr>
          <w:p w:rsidR="008C1FB8" w:rsidRPr="00783C17" w:rsidRDefault="008C1FB8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auto"/>
          </w:tcPr>
          <w:p w:rsidR="008C1FB8" w:rsidRPr="00D55891" w:rsidRDefault="008C1FB8" w:rsidP="008A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5.1.</w:t>
            </w:r>
            <w:r w:rsidRPr="00D55891">
              <w:rPr>
                <w:rFonts w:ascii="Times New Roman" w:hAnsi="Times New Roman" w:cs="Times New Roman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shd w:val="clear" w:color="auto" w:fill="auto"/>
          </w:tcPr>
          <w:p w:rsidR="008C1FB8" w:rsidRPr="00D55891" w:rsidRDefault="008C1FB8" w:rsidP="008A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shd w:val="clear" w:color="auto" w:fill="auto"/>
          </w:tcPr>
          <w:p w:rsidR="008C1FB8" w:rsidRPr="00D55891" w:rsidRDefault="008C1FB8" w:rsidP="008A6EF4">
            <w:pPr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1" w:type="pct"/>
            <w:shd w:val="clear" w:color="auto" w:fill="auto"/>
          </w:tcPr>
          <w:p w:rsidR="008C1FB8" w:rsidRPr="00D55891" w:rsidRDefault="008C1FB8" w:rsidP="008D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 xml:space="preserve">Пункт 7 д) Правил </w:t>
            </w:r>
          </w:p>
        </w:tc>
      </w:tr>
      <w:tr w:rsidR="00D55891" w:rsidRPr="00783C17" w:rsidTr="00C4511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:rsidR="00D55891" w:rsidRPr="00783C17" w:rsidRDefault="00D55891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5891" w:rsidRPr="00783C17" w:rsidRDefault="00D55891" w:rsidP="0002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shd w:val="clear" w:color="auto" w:fill="auto"/>
          </w:tcPr>
          <w:p w:rsidR="00D55891" w:rsidRPr="00783C17" w:rsidRDefault="00D55891" w:rsidP="000218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5891" w:rsidRPr="00AB506F" w:rsidRDefault="00D55891" w:rsidP="00E82E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891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  <w:r w:rsidR="008C1FB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D5589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AB50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</w:t>
            </w:r>
          </w:p>
          <w:p w:rsidR="00D55891" w:rsidRPr="00AB506F" w:rsidRDefault="00D55891" w:rsidP="00E82E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06F">
              <w:rPr>
                <w:rFonts w:ascii="Times New Roman" w:hAnsi="Times New Roman"/>
              </w:rPr>
              <w:t>Акта об осуществлении</w:t>
            </w:r>
            <w:r>
              <w:rPr>
                <w:rFonts w:ascii="Times New Roman" w:hAnsi="Times New Roman"/>
              </w:rPr>
              <w:t xml:space="preserve"> технологического присоединения.</w:t>
            </w:r>
          </w:p>
          <w:p w:rsidR="00D55891" w:rsidRPr="00AB506F" w:rsidRDefault="00D55891" w:rsidP="00E82E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8" w:type="pct"/>
            <w:shd w:val="clear" w:color="auto" w:fill="auto"/>
          </w:tcPr>
          <w:p w:rsidR="00D55891" w:rsidRPr="00AB506F" w:rsidRDefault="00D55891" w:rsidP="00E82E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Подписанный Акт </w:t>
            </w:r>
            <w:r w:rsidRPr="00AB506F">
              <w:rPr>
                <w:rFonts w:ascii="Times New Roman" w:hAnsi="Times New Roman"/>
              </w:rPr>
              <w:t>об осуществлении</w:t>
            </w:r>
            <w:r>
              <w:rPr>
                <w:rFonts w:ascii="Times New Roman" w:hAnsi="Times New Roman"/>
              </w:rPr>
              <w:t xml:space="preserve"> технологического присоединения</w:t>
            </w:r>
            <w:r w:rsidRPr="00AB506F">
              <w:rPr>
                <w:rFonts w:ascii="Times New Roman" w:hAnsi="Times New Roman"/>
              </w:rPr>
              <w:t xml:space="preserve"> в письменной</w:t>
            </w:r>
            <w:r>
              <w:rPr>
                <w:rFonts w:ascii="Times New Roman" w:hAnsi="Times New Roman"/>
              </w:rPr>
              <w:t xml:space="preserve"> или электронной </w:t>
            </w:r>
            <w:r w:rsidRPr="00AB506F">
              <w:rPr>
                <w:rFonts w:ascii="Times New Roman" w:hAnsi="Times New Roman"/>
              </w:rPr>
              <w:t xml:space="preserve">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5891" w:rsidRPr="00AB506F" w:rsidRDefault="00D55891" w:rsidP="00E82E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рабочих дней после осуществления сетевой организацией фактической подачи напряжения</w:t>
            </w:r>
          </w:p>
        </w:tc>
        <w:tc>
          <w:tcPr>
            <w:tcW w:w="901" w:type="pct"/>
            <w:shd w:val="clear" w:color="auto" w:fill="auto"/>
          </w:tcPr>
          <w:p w:rsidR="00D55891" w:rsidRPr="00AB506F" w:rsidRDefault="00D55891" w:rsidP="008D158E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AB506F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7е), 19 </w:t>
            </w:r>
            <w:r w:rsidRPr="00AB506F">
              <w:rPr>
                <w:rFonts w:ascii="Times New Roman" w:hAnsi="Times New Roman"/>
              </w:rPr>
              <w:t xml:space="preserve">Правил </w:t>
            </w:r>
            <w:proofErr w:type="gramEnd"/>
          </w:p>
        </w:tc>
      </w:tr>
      <w:tr w:rsidR="00A00217" w:rsidRPr="00783C17" w:rsidTr="00C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A00217" w:rsidRPr="00783C17" w:rsidRDefault="00A00217" w:rsidP="000218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00217" w:rsidRPr="00783C17" w:rsidRDefault="00A00217" w:rsidP="000218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A00217" w:rsidP="008C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="008C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83C17">
              <w:rPr>
                <w:rFonts w:ascii="Times New Roman" w:hAnsi="Times New Roman" w:cs="Times New Roman"/>
              </w:rPr>
              <w:t xml:space="preserve"> </w:t>
            </w:r>
            <w:r w:rsidR="00D55891" w:rsidRPr="00D55891">
              <w:rPr>
                <w:rFonts w:ascii="Times New Roman" w:hAnsi="Times New Roman" w:cs="Times New Roman"/>
              </w:rPr>
              <w:t xml:space="preserve">Направление сетевой организацией </w:t>
            </w:r>
            <w:r w:rsidR="00D55891" w:rsidRPr="00D55891">
              <w:rPr>
                <w:rFonts w:ascii="Times New Roman" w:hAnsi="Times New Roman" w:cs="Times New Roman"/>
              </w:rPr>
              <w:lastRenderedPageBreak/>
              <w:t>подписанного с заявителем акта об осуществлении технологического присоединения в субъект розничного рынка</w:t>
            </w:r>
          </w:p>
        </w:tc>
        <w:tc>
          <w:tcPr>
            <w:tcW w:w="798" w:type="pct"/>
            <w:shd w:val="clear" w:color="auto" w:fill="auto"/>
          </w:tcPr>
          <w:p w:rsidR="00A00217" w:rsidRPr="00783C17" w:rsidRDefault="00A00217" w:rsidP="001937FA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C17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0217" w:rsidRPr="00783C17" w:rsidRDefault="00D55891" w:rsidP="0002188B">
            <w:r w:rsidRPr="00D55891">
              <w:rPr>
                <w:rFonts w:ascii="Times New Roman" w:hAnsi="Times New Roman" w:cs="Times New Roman"/>
              </w:rPr>
              <w:t xml:space="preserve">В течение 2 рабочих дней </w:t>
            </w:r>
            <w:r w:rsidRPr="00D55891">
              <w:rPr>
                <w:rFonts w:ascii="Times New Roman" w:hAnsi="Times New Roman" w:cs="Times New Roman"/>
              </w:rPr>
              <w:lastRenderedPageBreak/>
              <w:t>после предоставления подписанного заявителем акта об осуществлении технологического присоединения в сетевую организацию.</w:t>
            </w:r>
          </w:p>
        </w:tc>
        <w:tc>
          <w:tcPr>
            <w:tcW w:w="901" w:type="pct"/>
            <w:shd w:val="clear" w:color="auto" w:fill="auto"/>
          </w:tcPr>
          <w:p w:rsidR="00A00217" w:rsidRPr="00783C17" w:rsidRDefault="00A00217" w:rsidP="0002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C17">
              <w:rPr>
                <w:rFonts w:ascii="Times New Roman" w:hAnsi="Times New Roman" w:cs="Times New Roman"/>
              </w:rPr>
              <w:lastRenderedPageBreak/>
              <w:t xml:space="preserve">Пункт 19 (1) Правил </w:t>
            </w:r>
          </w:p>
        </w:tc>
      </w:tr>
    </w:tbl>
    <w:p w:rsidR="00CA183B" w:rsidRPr="00783C17" w:rsidRDefault="00CA183B" w:rsidP="00C4511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A183B" w:rsidRPr="00783C1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54" w:rsidRDefault="00020254" w:rsidP="00DC7CA8">
      <w:pPr>
        <w:spacing w:after="0" w:line="240" w:lineRule="auto"/>
      </w:pPr>
      <w:r>
        <w:separator/>
      </w:r>
    </w:p>
  </w:endnote>
  <w:endnote w:type="continuationSeparator" w:id="0">
    <w:p w:rsidR="00020254" w:rsidRDefault="0002025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54" w:rsidRDefault="00020254" w:rsidP="00DC7CA8">
      <w:pPr>
        <w:spacing w:after="0" w:line="240" w:lineRule="auto"/>
      </w:pPr>
      <w:r>
        <w:separator/>
      </w:r>
    </w:p>
  </w:footnote>
  <w:footnote w:type="continuationSeparator" w:id="0">
    <w:p w:rsidR="00020254" w:rsidRDefault="00020254" w:rsidP="00DC7CA8">
      <w:pPr>
        <w:spacing w:after="0" w:line="240" w:lineRule="auto"/>
      </w:pPr>
      <w:r>
        <w:continuationSeparator/>
      </w:r>
    </w:p>
  </w:footnote>
  <w:footnote w:id="1">
    <w:p w:rsidR="00003731" w:rsidRPr="00360C33" w:rsidRDefault="00003731" w:rsidP="00003731">
      <w:pPr>
        <w:pStyle w:val="ac"/>
      </w:pPr>
      <w:r>
        <w:rPr>
          <w:rStyle w:val="ae"/>
        </w:rPr>
        <w:footnoteRef/>
      </w:r>
      <w:r>
        <w:t xml:space="preserve"> </w:t>
      </w:r>
      <w:r w:rsidRPr="00360C33">
        <w:rPr>
          <w:rFonts w:ascii="Times New Roman" w:hAnsi="Times New Roman"/>
        </w:rPr>
        <w:t>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  <w:p w:rsidR="00003731" w:rsidRDefault="00003731">
      <w:pPr>
        <w:pStyle w:val="ac"/>
      </w:pPr>
    </w:p>
  </w:footnote>
  <w:footnote w:id="2">
    <w:p w:rsidR="00D55891" w:rsidRDefault="00D55891">
      <w:pPr>
        <w:pStyle w:val="ac"/>
      </w:pPr>
      <w:r w:rsidRPr="00D55891">
        <w:rPr>
          <w:rStyle w:val="ae"/>
        </w:rPr>
        <w:footnoteRef/>
      </w:r>
      <w:r w:rsidRPr="00D55891">
        <w:t xml:space="preserve"> </w:t>
      </w:r>
      <w:r w:rsidRPr="00D55891">
        <w:rPr>
          <w:rFonts w:ascii="Times New Roman" w:hAnsi="Times New Roman"/>
        </w:rPr>
        <w:t>Для энергопринимающих устройств физических лиц мощностью от 15 кВт до 670 кВт.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3731"/>
    <w:rsid w:val="00020254"/>
    <w:rsid w:val="0002188B"/>
    <w:rsid w:val="00022F24"/>
    <w:rsid w:val="0002340B"/>
    <w:rsid w:val="0002598C"/>
    <w:rsid w:val="00026177"/>
    <w:rsid w:val="00040D43"/>
    <w:rsid w:val="000653F9"/>
    <w:rsid w:val="000825BA"/>
    <w:rsid w:val="000842C1"/>
    <w:rsid w:val="000934F5"/>
    <w:rsid w:val="000B07B6"/>
    <w:rsid w:val="000C0DC7"/>
    <w:rsid w:val="000C2731"/>
    <w:rsid w:val="000C3C93"/>
    <w:rsid w:val="000C69B2"/>
    <w:rsid w:val="000D0D64"/>
    <w:rsid w:val="000E3B80"/>
    <w:rsid w:val="000E710C"/>
    <w:rsid w:val="00121F2F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37FA"/>
    <w:rsid w:val="00195358"/>
    <w:rsid w:val="001A2D7A"/>
    <w:rsid w:val="001D45A0"/>
    <w:rsid w:val="00206CD3"/>
    <w:rsid w:val="00213172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B7290"/>
    <w:rsid w:val="002C24EC"/>
    <w:rsid w:val="002C56E2"/>
    <w:rsid w:val="0032200A"/>
    <w:rsid w:val="0032230E"/>
    <w:rsid w:val="00326913"/>
    <w:rsid w:val="00347A15"/>
    <w:rsid w:val="0035286A"/>
    <w:rsid w:val="0037161F"/>
    <w:rsid w:val="003A30D0"/>
    <w:rsid w:val="003A6292"/>
    <w:rsid w:val="003B555E"/>
    <w:rsid w:val="003B6F93"/>
    <w:rsid w:val="003B74CA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72086"/>
    <w:rsid w:val="004A4D60"/>
    <w:rsid w:val="004B75E4"/>
    <w:rsid w:val="004D2FC8"/>
    <w:rsid w:val="004F68F4"/>
    <w:rsid w:val="00502B8E"/>
    <w:rsid w:val="0051045A"/>
    <w:rsid w:val="0051352D"/>
    <w:rsid w:val="0052277B"/>
    <w:rsid w:val="00524428"/>
    <w:rsid w:val="00534E9A"/>
    <w:rsid w:val="00557796"/>
    <w:rsid w:val="0058149F"/>
    <w:rsid w:val="00584BD8"/>
    <w:rsid w:val="005A6542"/>
    <w:rsid w:val="005B627E"/>
    <w:rsid w:val="005C22A7"/>
    <w:rsid w:val="005C6A82"/>
    <w:rsid w:val="005E5018"/>
    <w:rsid w:val="005E5AAE"/>
    <w:rsid w:val="005F2F3E"/>
    <w:rsid w:val="005F5E76"/>
    <w:rsid w:val="006017F1"/>
    <w:rsid w:val="006047AA"/>
    <w:rsid w:val="00614532"/>
    <w:rsid w:val="00620C3D"/>
    <w:rsid w:val="00640439"/>
    <w:rsid w:val="0065173C"/>
    <w:rsid w:val="00656BD8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A6F36"/>
    <w:rsid w:val="006B6114"/>
    <w:rsid w:val="006D1FF2"/>
    <w:rsid w:val="006D2EDE"/>
    <w:rsid w:val="006F2514"/>
    <w:rsid w:val="006F446F"/>
    <w:rsid w:val="0070128B"/>
    <w:rsid w:val="00702FF2"/>
    <w:rsid w:val="00744E8F"/>
    <w:rsid w:val="00762B2B"/>
    <w:rsid w:val="00776C32"/>
    <w:rsid w:val="0078335E"/>
    <w:rsid w:val="00783C17"/>
    <w:rsid w:val="007877ED"/>
    <w:rsid w:val="007919F1"/>
    <w:rsid w:val="007952BD"/>
    <w:rsid w:val="007A2C8F"/>
    <w:rsid w:val="007C5088"/>
    <w:rsid w:val="007E3152"/>
    <w:rsid w:val="007E41FA"/>
    <w:rsid w:val="00806C78"/>
    <w:rsid w:val="008117CC"/>
    <w:rsid w:val="0082387B"/>
    <w:rsid w:val="00823FCC"/>
    <w:rsid w:val="00823FF3"/>
    <w:rsid w:val="00824E68"/>
    <w:rsid w:val="008254DA"/>
    <w:rsid w:val="0082713E"/>
    <w:rsid w:val="00832A84"/>
    <w:rsid w:val="008607A2"/>
    <w:rsid w:val="00863174"/>
    <w:rsid w:val="0086326F"/>
    <w:rsid w:val="00875799"/>
    <w:rsid w:val="008C1FB8"/>
    <w:rsid w:val="008C2E25"/>
    <w:rsid w:val="008C64E4"/>
    <w:rsid w:val="008D158E"/>
    <w:rsid w:val="008D2E8D"/>
    <w:rsid w:val="008E16CB"/>
    <w:rsid w:val="008F50AA"/>
    <w:rsid w:val="009001F4"/>
    <w:rsid w:val="00904E58"/>
    <w:rsid w:val="0093695E"/>
    <w:rsid w:val="009539DA"/>
    <w:rsid w:val="00975075"/>
    <w:rsid w:val="00996EEC"/>
    <w:rsid w:val="009C0D2C"/>
    <w:rsid w:val="009C33E7"/>
    <w:rsid w:val="009D7322"/>
    <w:rsid w:val="00A00217"/>
    <w:rsid w:val="00A22C5F"/>
    <w:rsid w:val="00A22DAD"/>
    <w:rsid w:val="00A4089D"/>
    <w:rsid w:val="00A44E14"/>
    <w:rsid w:val="00A474DD"/>
    <w:rsid w:val="00A61E75"/>
    <w:rsid w:val="00A705D8"/>
    <w:rsid w:val="00A97E79"/>
    <w:rsid w:val="00AC3BB0"/>
    <w:rsid w:val="00AE08E3"/>
    <w:rsid w:val="00AE6823"/>
    <w:rsid w:val="00AF67C0"/>
    <w:rsid w:val="00B04094"/>
    <w:rsid w:val="00B10575"/>
    <w:rsid w:val="00B118E9"/>
    <w:rsid w:val="00B40D8E"/>
    <w:rsid w:val="00B564E5"/>
    <w:rsid w:val="00B8308D"/>
    <w:rsid w:val="00B84849"/>
    <w:rsid w:val="00B94FDB"/>
    <w:rsid w:val="00BA00C5"/>
    <w:rsid w:val="00BA531D"/>
    <w:rsid w:val="00BA7F88"/>
    <w:rsid w:val="00BB3394"/>
    <w:rsid w:val="00BB4032"/>
    <w:rsid w:val="00BB7AE2"/>
    <w:rsid w:val="00BD087E"/>
    <w:rsid w:val="00BE1C4D"/>
    <w:rsid w:val="00BE7298"/>
    <w:rsid w:val="00C02B7A"/>
    <w:rsid w:val="00C05A4F"/>
    <w:rsid w:val="00C20511"/>
    <w:rsid w:val="00C2064F"/>
    <w:rsid w:val="00C25F4B"/>
    <w:rsid w:val="00C379FF"/>
    <w:rsid w:val="00C4511A"/>
    <w:rsid w:val="00C458B0"/>
    <w:rsid w:val="00C514F8"/>
    <w:rsid w:val="00C57590"/>
    <w:rsid w:val="00C7174A"/>
    <w:rsid w:val="00C74D96"/>
    <w:rsid w:val="00C75E65"/>
    <w:rsid w:val="00CA183B"/>
    <w:rsid w:val="00CA1E91"/>
    <w:rsid w:val="00CC1A0A"/>
    <w:rsid w:val="00CC211B"/>
    <w:rsid w:val="00CC55AC"/>
    <w:rsid w:val="00CF1785"/>
    <w:rsid w:val="00D1019A"/>
    <w:rsid w:val="00D26658"/>
    <w:rsid w:val="00D27D92"/>
    <w:rsid w:val="00D31A83"/>
    <w:rsid w:val="00D34055"/>
    <w:rsid w:val="00D37687"/>
    <w:rsid w:val="00D46EE5"/>
    <w:rsid w:val="00D47D80"/>
    <w:rsid w:val="00D50811"/>
    <w:rsid w:val="00D50CC7"/>
    <w:rsid w:val="00D55891"/>
    <w:rsid w:val="00D679FC"/>
    <w:rsid w:val="00D73C9D"/>
    <w:rsid w:val="00D91677"/>
    <w:rsid w:val="00DC03DD"/>
    <w:rsid w:val="00DC7CA8"/>
    <w:rsid w:val="00DD30F1"/>
    <w:rsid w:val="00E01206"/>
    <w:rsid w:val="00E0506C"/>
    <w:rsid w:val="00E063CF"/>
    <w:rsid w:val="00E20DAF"/>
    <w:rsid w:val="00E26490"/>
    <w:rsid w:val="00E36F56"/>
    <w:rsid w:val="00E5056E"/>
    <w:rsid w:val="00E53D9B"/>
    <w:rsid w:val="00E557B2"/>
    <w:rsid w:val="00E57D1E"/>
    <w:rsid w:val="00E70070"/>
    <w:rsid w:val="00E70F7F"/>
    <w:rsid w:val="00EA53BE"/>
    <w:rsid w:val="00EA72EC"/>
    <w:rsid w:val="00EC6F80"/>
    <w:rsid w:val="00ED0565"/>
    <w:rsid w:val="00ED1B44"/>
    <w:rsid w:val="00ED42E7"/>
    <w:rsid w:val="00EE2C63"/>
    <w:rsid w:val="00F029C0"/>
    <w:rsid w:val="00F336FE"/>
    <w:rsid w:val="00F4184B"/>
    <w:rsid w:val="00F4469B"/>
    <w:rsid w:val="00F747F9"/>
    <w:rsid w:val="00F76AA4"/>
    <w:rsid w:val="00F87578"/>
    <w:rsid w:val="00FA6398"/>
    <w:rsid w:val="00FC139B"/>
    <w:rsid w:val="00FC1E5A"/>
    <w:rsid w:val="00FC33E3"/>
    <w:rsid w:val="00FD433D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A72EC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2649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649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6490"/>
    <w:rPr>
      <w:vertAlign w:val="superscript"/>
    </w:rPr>
  </w:style>
  <w:style w:type="table" w:styleId="af8">
    <w:name w:val="Table Grid"/>
    <w:basedOn w:val="a1"/>
    <w:uiPriority w:val="59"/>
    <w:rsid w:val="0002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A72EC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2649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649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6490"/>
    <w:rPr>
      <w:vertAlign w:val="superscript"/>
    </w:rPr>
  </w:style>
  <w:style w:type="table" w:styleId="af8">
    <w:name w:val="Table Grid"/>
    <w:basedOn w:val="a1"/>
    <w:uiPriority w:val="59"/>
    <w:rsid w:val="0002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8483-27D0-413E-8C9E-5D6E46C8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32</cp:revision>
  <cp:lastPrinted>2019-11-29T10:13:00Z</cp:lastPrinted>
  <dcterms:created xsi:type="dcterms:W3CDTF">2016-09-06T07:33:00Z</dcterms:created>
  <dcterms:modified xsi:type="dcterms:W3CDTF">2020-01-23T09:33:00Z</dcterms:modified>
</cp:coreProperties>
</file>